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300" w:afterAutospacing="0" w:line="540" w:lineRule="atLeast"/>
        <w:ind w:left="0" w:right="0"/>
        <w:jc w:val="center"/>
        <w:textAlignment w:val="baseline"/>
        <w:rPr>
          <w:b/>
          <w:bCs/>
          <w:color w:val="383940"/>
          <w:sz w:val="39"/>
          <w:szCs w:val="39"/>
        </w:rPr>
      </w:pPr>
      <w:r>
        <w:rPr>
          <w:b/>
          <w:bCs/>
          <w:i w:val="0"/>
          <w:iCs w:val="0"/>
          <w:caps w:val="0"/>
          <w:color w:val="383940"/>
          <w:spacing w:val="0"/>
          <w:sz w:val="39"/>
          <w:szCs w:val="39"/>
          <w:shd w:val="clear" w:fill="FFFFFF"/>
          <w:vertAlign w:val="baseline"/>
        </w:rPr>
        <w:t>福州职业技术学院爱心楼空地处建设室外羽毛球场地采购项目</w:t>
      </w:r>
      <w:r>
        <w:rPr>
          <w:rFonts w:hint="eastAsia"/>
          <w:b/>
          <w:bCs/>
          <w:i w:val="0"/>
          <w:iCs w:val="0"/>
          <w:caps w:val="0"/>
          <w:color w:val="383940"/>
          <w:spacing w:val="0"/>
          <w:sz w:val="39"/>
          <w:szCs w:val="39"/>
          <w:shd w:val="clear" w:fill="FFFFFF"/>
          <w:vertAlign w:val="baseline"/>
          <w:lang w:eastAsia="zh-CN"/>
        </w:rPr>
        <w:t>（</w:t>
      </w:r>
      <w:r>
        <w:rPr>
          <w:rFonts w:hint="eastAsia"/>
          <w:b/>
          <w:bCs/>
          <w:i w:val="0"/>
          <w:iCs w:val="0"/>
          <w:caps w:val="0"/>
          <w:color w:val="383940"/>
          <w:spacing w:val="0"/>
          <w:sz w:val="39"/>
          <w:szCs w:val="39"/>
          <w:shd w:val="clear" w:fill="FFFFFF"/>
          <w:vertAlign w:val="baseline"/>
          <w:lang w:val="en-US" w:eastAsia="zh-CN"/>
        </w:rPr>
        <w:t>重新招标</w:t>
      </w:r>
      <w:r>
        <w:rPr>
          <w:rFonts w:hint="eastAsia"/>
          <w:b/>
          <w:bCs/>
          <w:i w:val="0"/>
          <w:iCs w:val="0"/>
          <w:caps w:val="0"/>
          <w:color w:val="383940"/>
          <w:spacing w:val="0"/>
          <w:sz w:val="39"/>
          <w:szCs w:val="39"/>
          <w:shd w:val="clear" w:fill="FFFFFF"/>
          <w:vertAlign w:val="baseline"/>
          <w:lang w:eastAsia="zh-CN"/>
        </w:rPr>
        <w:t>）</w:t>
      </w:r>
      <w:r>
        <w:rPr>
          <w:b/>
          <w:bCs/>
          <w:i w:val="0"/>
          <w:iCs w:val="0"/>
          <w:caps w:val="0"/>
          <w:color w:val="383940"/>
          <w:spacing w:val="0"/>
          <w:sz w:val="39"/>
          <w:szCs w:val="39"/>
          <w:shd w:val="clear" w:fill="FFFFFF"/>
          <w:vertAlign w:val="baseline"/>
        </w:rPr>
        <w:t>公开招标公告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项目概况</w:t>
      </w:r>
    </w:p>
    <w:p>
      <w:pPr>
        <w:keepNext w:val="0"/>
        <w:keepLines w:val="0"/>
        <w:pageBreakBefore w:val="0"/>
        <w:widowControl/>
        <w:suppressLineNumbers w:val="0"/>
        <w:pBdr>
          <w:top w:val="single" w:color="DDDDDD" w:sz="2"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Autospacing="0" w:afterAutospacing="0" w:line="400" w:lineRule="exact"/>
        <w:ind w:left="10" w:leftChars="0" w:right="-92" w:rightChars="-44" w:hanging="10" w:hangingChars="5"/>
        <w:jc w:val="left"/>
        <w:textAlignment w:val="baseline"/>
        <w:rPr>
          <w:rFonts w:hint="eastAsia" w:ascii="宋体" w:hAnsi="宋体" w:eastAsia="宋体" w:cs="宋体"/>
          <w:i w:val="0"/>
          <w:iCs w:val="0"/>
          <w:caps w:val="0"/>
          <w:color w:val="383838"/>
          <w:spacing w:val="0"/>
          <w:sz w:val="21"/>
          <w:szCs w:val="21"/>
        </w:rPr>
      </w:pPr>
      <w:r>
        <w:rPr>
          <w:rFonts w:hint="eastAsia" w:ascii="宋体" w:hAnsi="宋体" w:eastAsia="宋体" w:cs="宋体"/>
          <w:i w:val="0"/>
          <w:iCs w:val="0"/>
          <w:caps w:val="0"/>
          <w:color w:val="383838"/>
          <w:spacing w:val="0"/>
          <w:kern w:val="0"/>
          <w:sz w:val="21"/>
          <w:szCs w:val="21"/>
          <w:shd w:val="clear" w:fill="FFFFFF"/>
          <w:vertAlign w:val="baseline"/>
          <w:lang w:val="en-US" w:eastAsia="zh-CN" w:bidi="ar"/>
        </w:rPr>
        <w:t>爱心楼空地处建设室外羽毛球场地采购项目 招标项目的潜在投标人应在福州市鼓楼区鼓东街道湖东路79号外运大厦7层701福建盛鑫招标代理有限公司办公区报名处获取招标文件，并于</w:t>
      </w:r>
      <w:r>
        <w:rPr>
          <w:rFonts w:hint="eastAsia" w:ascii="宋体" w:hAnsi="宋体" w:eastAsia="宋体" w:cs="宋体"/>
          <w:i w:val="0"/>
          <w:iCs w:val="0"/>
          <w:caps w:val="0"/>
          <w:color w:val="FF0000"/>
          <w:spacing w:val="0"/>
          <w:kern w:val="0"/>
          <w:sz w:val="21"/>
          <w:szCs w:val="21"/>
          <w:highlight w:val="cyan"/>
          <w:shd w:val="clear" w:fill="FFFFFF"/>
          <w:vertAlign w:val="baseline"/>
          <w:lang w:val="en-US" w:eastAsia="zh-CN" w:bidi="ar"/>
        </w:rPr>
        <w:t>2024年04月19日 09点00分</w:t>
      </w:r>
      <w:r>
        <w:rPr>
          <w:rFonts w:hint="eastAsia" w:ascii="宋体" w:hAnsi="宋体" w:eastAsia="宋体" w:cs="宋体"/>
          <w:i w:val="0"/>
          <w:iCs w:val="0"/>
          <w:caps w:val="0"/>
          <w:color w:val="383838"/>
          <w:spacing w:val="0"/>
          <w:kern w:val="0"/>
          <w:sz w:val="21"/>
          <w:szCs w:val="21"/>
          <w:shd w:val="clear" w:fill="FFFFFF"/>
          <w:vertAlign w:val="baseline"/>
          <w:lang w:val="en-US" w:eastAsia="zh-CN" w:bidi="ar"/>
        </w:rPr>
        <w:t>（北京时间）前递交投标文件。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一、项目基本情况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项目编号：FJSXZB2024004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项目名称：爱心楼空地处建设室外羽毛球场地采购项目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预算金额：15.000000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最高限价（如有）：15.000000 万元（人民币）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采购包预算金额（元）:150000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采购包最高限价（元）:150000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采购包保证金金额（元）:0</w:t>
      </w:r>
    </w:p>
    <w:tbl>
      <w:tblPr>
        <w:tblStyle w:val="5"/>
        <w:tblW w:w="4997"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4"/>
        <w:gridCol w:w="1907"/>
        <w:gridCol w:w="746"/>
        <w:gridCol w:w="1024"/>
        <w:gridCol w:w="1033"/>
        <w:gridCol w:w="1542"/>
        <w:gridCol w:w="648"/>
        <w:gridCol w:w="98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83" w:type="pct"/>
            <w:tcBorders>
              <w:top w:val="single" w:color="000000" w:sz="8" w:space="0"/>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序号</w:t>
            </w:r>
          </w:p>
        </w:tc>
        <w:tc>
          <w:tcPr>
            <w:tcW w:w="1115"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标的名称</w:t>
            </w:r>
          </w:p>
        </w:tc>
        <w:tc>
          <w:tcPr>
            <w:tcW w:w="436"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数量</w:t>
            </w:r>
          </w:p>
        </w:tc>
        <w:tc>
          <w:tcPr>
            <w:tcW w:w="599"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标的金额 （元）</w:t>
            </w:r>
          </w:p>
        </w:tc>
        <w:tc>
          <w:tcPr>
            <w:tcW w:w="604"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计量单位</w:t>
            </w:r>
          </w:p>
        </w:tc>
        <w:tc>
          <w:tcPr>
            <w:tcW w:w="902"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简要技术需求或服务要求</w:t>
            </w:r>
          </w:p>
        </w:tc>
        <w:tc>
          <w:tcPr>
            <w:tcW w:w="379"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所属行业</w:t>
            </w:r>
          </w:p>
        </w:tc>
        <w:tc>
          <w:tcPr>
            <w:tcW w:w="577"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是否允许进口产品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3" w:type="pct"/>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1</w:t>
            </w:r>
          </w:p>
        </w:tc>
        <w:tc>
          <w:tcPr>
            <w:tcW w:w="1115"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羽毛球场悬浮拼装地板</w:t>
            </w:r>
          </w:p>
        </w:tc>
        <w:tc>
          <w:tcPr>
            <w:tcW w:w="436"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580</w:t>
            </w:r>
          </w:p>
        </w:tc>
        <w:tc>
          <w:tcPr>
            <w:tcW w:w="599"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110200</w:t>
            </w:r>
          </w:p>
        </w:tc>
        <w:tc>
          <w:tcPr>
            <w:tcW w:w="604"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平方米</w:t>
            </w:r>
          </w:p>
        </w:tc>
        <w:tc>
          <w:tcPr>
            <w:tcW w:w="902" w:type="pct"/>
            <w:vMerge w:val="restart"/>
            <w:tcBorders>
              <w:top w:val="nil"/>
              <w:left w:val="nil"/>
              <w:bottom w:val="outset" w:color="auto"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爱心楼空地处建设室外羽毛球场地，具体详见招标文件第五章</w:t>
            </w:r>
          </w:p>
        </w:tc>
        <w:tc>
          <w:tcPr>
            <w:tcW w:w="379"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工业</w:t>
            </w:r>
          </w:p>
        </w:tc>
        <w:tc>
          <w:tcPr>
            <w:tcW w:w="577"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5" w:hRule="atLeast"/>
          <w:jc w:val="center"/>
        </w:trPr>
        <w:tc>
          <w:tcPr>
            <w:tcW w:w="383" w:type="pct"/>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2</w:t>
            </w:r>
          </w:p>
        </w:tc>
        <w:tc>
          <w:tcPr>
            <w:tcW w:w="1115"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羽毛球场专用灯</w:t>
            </w:r>
          </w:p>
        </w:tc>
        <w:tc>
          <w:tcPr>
            <w:tcW w:w="436"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40</w:t>
            </w:r>
          </w:p>
        </w:tc>
        <w:tc>
          <w:tcPr>
            <w:tcW w:w="599"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24400</w:t>
            </w:r>
          </w:p>
        </w:tc>
        <w:tc>
          <w:tcPr>
            <w:tcW w:w="604"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盏</w:t>
            </w:r>
          </w:p>
        </w:tc>
        <w:tc>
          <w:tcPr>
            <w:tcW w:w="902" w:type="pct"/>
            <w:vMerge w:val="continue"/>
            <w:tcBorders>
              <w:top w:val="nil"/>
              <w:left w:val="nil"/>
              <w:bottom w:val="outset" w:color="auto" w:sz="8" w:space="0"/>
              <w:right w:val="single" w:color="000000" w:sz="8" w:space="0"/>
            </w:tcBorders>
            <w:shd w:val="clear" w:color="auto" w:fill="auto"/>
            <w:tcMar>
              <w:top w:w="0" w:type="dxa"/>
              <w:left w:w="120" w:type="dxa"/>
              <w:bottom w:w="0" w:type="dxa"/>
              <w:right w:w="120" w:type="dxa"/>
            </w:tcMar>
            <w:vAlign w:val="top"/>
          </w:tcPr>
          <w:p>
            <w:pPr>
              <w:keepNext w:val="0"/>
              <w:keepLines w:val="0"/>
              <w:pageBreakBefore w:val="0"/>
              <w:widowControl/>
              <w:kinsoku/>
              <w:overflowPunct/>
              <w:topLinePunct w:val="0"/>
              <w:autoSpaceDE/>
              <w:autoSpaceDN/>
              <w:bidi w:val="0"/>
              <w:adjustRightInd/>
              <w:snapToGrid/>
              <w:spacing w:before="0" w:after="0" w:line="400" w:lineRule="exact"/>
              <w:ind w:left="10" w:leftChars="0" w:right="-92" w:rightChars="-44" w:hanging="10" w:hangingChars="5"/>
              <w:rPr>
                <w:rFonts w:hint="eastAsia" w:ascii="宋体" w:hAnsi="宋体" w:eastAsia="宋体" w:cs="宋体"/>
                <w:sz w:val="21"/>
                <w:szCs w:val="21"/>
                <w:vertAlign w:val="baseline"/>
              </w:rPr>
            </w:pPr>
          </w:p>
        </w:tc>
        <w:tc>
          <w:tcPr>
            <w:tcW w:w="379"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工业</w:t>
            </w:r>
          </w:p>
        </w:tc>
        <w:tc>
          <w:tcPr>
            <w:tcW w:w="577"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否</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15" w:hRule="atLeast"/>
          <w:jc w:val="center"/>
        </w:trPr>
        <w:tc>
          <w:tcPr>
            <w:tcW w:w="383" w:type="pct"/>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3</w:t>
            </w:r>
          </w:p>
        </w:tc>
        <w:tc>
          <w:tcPr>
            <w:tcW w:w="1115"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羽毛球柱</w:t>
            </w:r>
          </w:p>
        </w:tc>
        <w:tc>
          <w:tcPr>
            <w:tcW w:w="436"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4</w:t>
            </w:r>
          </w:p>
        </w:tc>
        <w:tc>
          <w:tcPr>
            <w:tcW w:w="599"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15400</w:t>
            </w:r>
          </w:p>
        </w:tc>
        <w:tc>
          <w:tcPr>
            <w:tcW w:w="604"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副</w:t>
            </w:r>
          </w:p>
        </w:tc>
        <w:tc>
          <w:tcPr>
            <w:tcW w:w="902" w:type="pct"/>
            <w:vMerge w:val="continue"/>
            <w:tcBorders>
              <w:top w:val="nil"/>
              <w:left w:val="nil"/>
              <w:bottom w:val="outset" w:color="auto" w:sz="8" w:space="0"/>
              <w:right w:val="single" w:color="000000" w:sz="8" w:space="0"/>
            </w:tcBorders>
            <w:shd w:val="clear" w:color="auto" w:fill="auto"/>
            <w:tcMar>
              <w:top w:w="0" w:type="dxa"/>
              <w:left w:w="120" w:type="dxa"/>
              <w:bottom w:w="0" w:type="dxa"/>
              <w:right w:w="120" w:type="dxa"/>
            </w:tcMar>
            <w:vAlign w:val="top"/>
          </w:tcPr>
          <w:p>
            <w:pPr>
              <w:keepNext w:val="0"/>
              <w:keepLines w:val="0"/>
              <w:pageBreakBefore w:val="0"/>
              <w:widowControl/>
              <w:kinsoku/>
              <w:overflowPunct/>
              <w:topLinePunct w:val="0"/>
              <w:autoSpaceDE/>
              <w:autoSpaceDN/>
              <w:bidi w:val="0"/>
              <w:adjustRightInd/>
              <w:snapToGrid/>
              <w:spacing w:before="0" w:after="0" w:line="400" w:lineRule="exact"/>
              <w:ind w:left="10" w:leftChars="0" w:right="-92" w:rightChars="-44" w:hanging="10" w:hangingChars="5"/>
              <w:rPr>
                <w:rFonts w:hint="eastAsia" w:ascii="宋体" w:hAnsi="宋体" w:eastAsia="宋体" w:cs="宋体"/>
                <w:sz w:val="21"/>
                <w:szCs w:val="21"/>
                <w:vertAlign w:val="baseline"/>
              </w:rPr>
            </w:pPr>
          </w:p>
        </w:tc>
        <w:tc>
          <w:tcPr>
            <w:tcW w:w="379"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工业</w:t>
            </w:r>
          </w:p>
        </w:tc>
        <w:tc>
          <w:tcPr>
            <w:tcW w:w="577"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否</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合同履行期限：自合同签订生效后开始至双方合同义务完全履行后截止。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本项目( 不接受  )联合体投标。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二、申请人的资格要求：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1.满足《中华人民共和国政府采购法》第二十二条规定；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2.落实政府采购政策需满足的资格要求：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详见“六、其他补充事宜”。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3.本项目的特定资格要求：详见“六、其他补充事宜”。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三、获取招标文件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时间：</w:t>
      </w:r>
      <w:r>
        <w:rPr>
          <w:rFonts w:hint="eastAsia" w:ascii="宋体" w:hAnsi="宋体" w:eastAsia="宋体" w:cs="宋体"/>
          <w:i w:val="0"/>
          <w:iCs w:val="0"/>
          <w:caps w:val="0"/>
          <w:color w:val="FF0000"/>
          <w:spacing w:val="0"/>
          <w:sz w:val="21"/>
          <w:szCs w:val="21"/>
          <w:highlight w:val="cyan"/>
          <w:shd w:val="clear" w:fill="FFFFFF"/>
          <w:vertAlign w:val="baseline"/>
        </w:rPr>
        <w:t>2024年0</w:t>
      </w:r>
      <w:r>
        <w:rPr>
          <w:rFonts w:hint="eastAsia" w:ascii="宋体" w:hAnsi="宋体" w:eastAsia="宋体" w:cs="宋体"/>
          <w:i w:val="0"/>
          <w:iCs w:val="0"/>
          <w:caps w:val="0"/>
          <w:color w:val="FF0000"/>
          <w:spacing w:val="0"/>
          <w:sz w:val="21"/>
          <w:szCs w:val="21"/>
          <w:highlight w:val="cyan"/>
          <w:shd w:val="clear" w:fill="FFFFFF"/>
          <w:vertAlign w:val="baseline"/>
          <w:lang w:val="en-US" w:eastAsia="zh-CN"/>
        </w:rPr>
        <w:t>3</w:t>
      </w:r>
      <w:r>
        <w:rPr>
          <w:rFonts w:hint="eastAsia" w:ascii="宋体" w:hAnsi="宋体" w:eastAsia="宋体" w:cs="宋体"/>
          <w:i w:val="0"/>
          <w:iCs w:val="0"/>
          <w:caps w:val="0"/>
          <w:color w:val="FF0000"/>
          <w:spacing w:val="0"/>
          <w:sz w:val="21"/>
          <w:szCs w:val="21"/>
          <w:highlight w:val="cyan"/>
          <w:shd w:val="clear" w:fill="FFFFFF"/>
          <w:vertAlign w:val="baseline"/>
        </w:rPr>
        <w:t>月</w:t>
      </w:r>
      <w:r>
        <w:rPr>
          <w:rFonts w:hint="eastAsia" w:ascii="宋体" w:hAnsi="宋体" w:eastAsia="宋体" w:cs="宋体"/>
          <w:i w:val="0"/>
          <w:iCs w:val="0"/>
          <w:caps w:val="0"/>
          <w:color w:val="FF0000"/>
          <w:spacing w:val="0"/>
          <w:sz w:val="21"/>
          <w:szCs w:val="21"/>
          <w:highlight w:val="cyan"/>
          <w:shd w:val="clear" w:fill="FFFFFF"/>
          <w:vertAlign w:val="baseline"/>
          <w:lang w:val="en-US" w:eastAsia="zh-CN"/>
        </w:rPr>
        <w:t>29</w:t>
      </w:r>
      <w:r>
        <w:rPr>
          <w:rFonts w:hint="eastAsia" w:ascii="宋体" w:hAnsi="宋体" w:eastAsia="宋体" w:cs="宋体"/>
          <w:i w:val="0"/>
          <w:iCs w:val="0"/>
          <w:caps w:val="0"/>
          <w:color w:val="FF0000"/>
          <w:spacing w:val="0"/>
          <w:sz w:val="21"/>
          <w:szCs w:val="21"/>
          <w:highlight w:val="cyan"/>
          <w:shd w:val="clear" w:fill="FFFFFF"/>
          <w:vertAlign w:val="baseline"/>
        </w:rPr>
        <w:t>日  至 2024年</w:t>
      </w:r>
      <w:r>
        <w:rPr>
          <w:rFonts w:hint="eastAsia" w:ascii="宋体" w:hAnsi="宋体" w:eastAsia="宋体" w:cs="宋体"/>
          <w:i w:val="0"/>
          <w:iCs w:val="0"/>
          <w:caps w:val="0"/>
          <w:color w:val="FF0000"/>
          <w:spacing w:val="0"/>
          <w:sz w:val="21"/>
          <w:szCs w:val="21"/>
          <w:highlight w:val="cyan"/>
          <w:shd w:val="clear" w:fill="FFFFFF"/>
          <w:vertAlign w:val="baseline"/>
          <w:lang w:val="en-US" w:eastAsia="zh-CN"/>
        </w:rPr>
        <w:t>04</w:t>
      </w:r>
      <w:r>
        <w:rPr>
          <w:rFonts w:hint="eastAsia" w:ascii="宋体" w:hAnsi="宋体" w:eastAsia="宋体" w:cs="宋体"/>
          <w:i w:val="0"/>
          <w:iCs w:val="0"/>
          <w:caps w:val="0"/>
          <w:color w:val="FF0000"/>
          <w:spacing w:val="0"/>
          <w:sz w:val="21"/>
          <w:szCs w:val="21"/>
          <w:highlight w:val="cyan"/>
          <w:shd w:val="clear" w:fill="FFFFFF"/>
          <w:vertAlign w:val="baseline"/>
        </w:rPr>
        <w:t>月0</w:t>
      </w:r>
      <w:r>
        <w:rPr>
          <w:rFonts w:hint="eastAsia" w:ascii="宋体" w:hAnsi="宋体" w:eastAsia="宋体" w:cs="宋体"/>
          <w:i w:val="0"/>
          <w:iCs w:val="0"/>
          <w:caps w:val="0"/>
          <w:color w:val="FF0000"/>
          <w:spacing w:val="0"/>
          <w:sz w:val="21"/>
          <w:szCs w:val="21"/>
          <w:highlight w:val="cyan"/>
          <w:shd w:val="clear" w:fill="FFFFFF"/>
          <w:vertAlign w:val="baseline"/>
          <w:lang w:val="en-US" w:eastAsia="zh-CN"/>
        </w:rPr>
        <w:t>8</w:t>
      </w:r>
      <w:r>
        <w:rPr>
          <w:rFonts w:hint="eastAsia" w:ascii="宋体" w:hAnsi="宋体" w:eastAsia="宋体" w:cs="宋体"/>
          <w:i w:val="0"/>
          <w:iCs w:val="0"/>
          <w:caps w:val="0"/>
          <w:color w:val="FF0000"/>
          <w:spacing w:val="0"/>
          <w:sz w:val="21"/>
          <w:szCs w:val="21"/>
          <w:highlight w:val="cyan"/>
          <w:shd w:val="clear" w:fill="FFFFFF"/>
          <w:vertAlign w:val="baseline"/>
        </w:rPr>
        <w:t>日，</w:t>
      </w:r>
      <w:r>
        <w:rPr>
          <w:rFonts w:hint="eastAsia" w:ascii="宋体" w:hAnsi="宋体" w:eastAsia="宋体" w:cs="宋体"/>
          <w:i w:val="0"/>
          <w:iCs w:val="0"/>
          <w:caps w:val="0"/>
          <w:color w:val="383838"/>
          <w:spacing w:val="0"/>
          <w:sz w:val="21"/>
          <w:szCs w:val="21"/>
          <w:shd w:val="clear" w:fill="FFFFFF"/>
          <w:vertAlign w:val="baseline"/>
        </w:rPr>
        <w:t>每天上午8:00至12:00，下午14:30至17:30。（北京时间，法定节假日除外）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地点：福州市鼓楼区鼓东街道湖东路79号外运大厦7层701福建盛鑫招标代理有限公司办公区报名处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方式：在招标文件获取期限内，在招标文件获取期限内，通过以下两种方式报名获取招标文件：①供应商可到福州市鼓楼区鼓东街道湖东路79号外运大厦7层701福建盛鑫招标代理有限公司办公区报名处现场报名；②供应商按如下账号汇款后，将加盖公章后的汇款底单复印件连同报名材料（公司名称、联系人</w:t>
      </w:r>
      <w:bookmarkStart w:id="0" w:name="_GoBack"/>
      <w:bookmarkEnd w:id="0"/>
      <w:r>
        <w:rPr>
          <w:rFonts w:hint="eastAsia" w:ascii="宋体" w:hAnsi="宋体" w:eastAsia="宋体" w:cs="宋体"/>
          <w:i w:val="0"/>
          <w:iCs w:val="0"/>
          <w:caps w:val="0"/>
          <w:color w:val="383838"/>
          <w:spacing w:val="0"/>
          <w:sz w:val="21"/>
          <w:szCs w:val="21"/>
          <w:shd w:val="clear" w:fill="FFFFFF"/>
          <w:vertAlign w:val="baseline"/>
        </w:rPr>
        <w:t>、联系电话、手机、传真、邮箱和公司地址、所需报名的项目编号等信息）一并发送电子邮件（fjsxzb@163.com）至福建盛鑫招标代理有限公司报名（以电子邮件形式报名的供应商，须在发送报名材料后致电代理机构告知情况，否则一切后果自行负责）。注：未在规定期限内按上述方式进行报名获取招标文件的供应商，将导致其不能获取招标文件且不予以书面通知招标文件补充内容等（若有），其投标文件被拒收、投标将被拒绝。招标文件(纸质版或电子版)售价均为50元，售后不退。如需邮寄，另加50元人民币特快专递费，福建盛鑫招标代理有限公司不对邮寄过程中可能发生的延误或丢失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售价：￥50.0 元，本公告包含的招标文件售价总和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四、提交投标文件截止时间、开标时间和地点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提交投标文件截止时间：</w:t>
      </w:r>
      <w:r>
        <w:rPr>
          <w:rFonts w:hint="eastAsia" w:ascii="宋体" w:hAnsi="宋体" w:eastAsia="宋体" w:cs="宋体"/>
          <w:i w:val="0"/>
          <w:iCs w:val="0"/>
          <w:caps w:val="0"/>
          <w:color w:val="383838"/>
          <w:spacing w:val="0"/>
          <w:sz w:val="21"/>
          <w:szCs w:val="21"/>
          <w:highlight w:val="cyan"/>
          <w:shd w:val="clear" w:fill="FFFFFF"/>
          <w:vertAlign w:val="baseline"/>
        </w:rPr>
        <w:t>2024年</w:t>
      </w:r>
      <w:r>
        <w:rPr>
          <w:rFonts w:hint="eastAsia" w:ascii="宋体" w:hAnsi="宋体" w:eastAsia="宋体" w:cs="宋体"/>
          <w:i w:val="0"/>
          <w:iCs w:val="0"/>
          <w:caps w:val="0"/>
          <w:color w:val="383838"/>
          <w:spacing w:val="0"/>
          <w:sz w:val="21"/>
          <w:szCs w:val="21"/>
          <w:highlight w:val="cyan"/>
          <w:shd w:val="clear" w:fill="FFFFFF"/>
          <w:vertAlign w:val="baseline"/>
          <w:lang w:val="en-US" w:eastAsia="zh-CN"/>
        </w:rPr>
        <w:t>04</w:t>
      </w:r>
      <w:r>
        <w:rPr>
          <w:rFonts w:hint="eastAsia" w:ascii="宋体" w:hAnsi="宋体" w:eastAsia="宋体" w:cs="宋体"/>
          <w:i w:val="0"/>
          <w:iCs w:val="0"/>
          <w:caps w:val="0"/>
          <w:color w:val="383838"/>
          <w:spacing w:val="0"/>
          <w:sz w:val="21"/>
          <w:szCs w:val="21"/>
          <w:highlight w:val="cyan"/>
          <w:shd w:val="clear" w:fill="FFFFFF"/>
          <w:vertAlign w:val="baseline"/>
        </w:rPr>
        <w:t>月</w:t>
      </w:r>
      <w:r>
        <w:rPr>
          <w:rFonts w:hint="eastAsia" w:ascii="宋体" w:hAnsi="宋体" w:eastAsia="宋体" w:cs="宋体"/>
          <w:i w:val="0"/>
          <w:iCs w:val="0"/>
          <w:caps w:val="0"/>
          <w:color w:val="383838"/>
          <w:spacing w:val="0"/>
          <w:sz w:val="21"/>
          <w:szCs w:val="21"/>
          <w:highlight w:val="cyan"/>
          <w:shd w:val="clear" w:fill="FFFFFF"/>
          <w:vertAlign w:val="baseline"/>
          <w:lang w:val="en-US" w:eastAsia="zh-CN"/>
        </w:rPr>
        <w:t>19</w:t>
      </w:r>
      <w:r>
        <w:rPr>
          <w:rFonts w:hint="eastAsia" w:ascii="宋体" w:hAnsi="宋体" w:eastAsia="宋体" w:cs="宋体"/>
          <w:i w:val="0"/>
          <w:iCs w:val="0"/>
          <w:caps w:val="0"/>
          <w:color w:val="383838"/>
          <w:spacing w:val="0"/>
          <w:sz w:val="21"/>
          <w:szCs w:val="21"/>
          <w:highlight w:val="cyan"/>
          <w:shd w:val="clear" w:fill="FFFFFF"/>
          <w:vertAlign w:val="baseline"/>
        </w:rPr>
        <w:t>日 09点00分</w:t>
      </w:r>
      <w:r>
        <w:rPr>
          <w:rFonts w:hint="eastAsia" w:ascii="宋体" w:hAnsi="宋体" w:eastAsia="宋体" w:cs="宋体"/>
          <w:i w:val="0"/>
          <w:iCs w:val="0"/>
          <w:caps w:val="0"/>
          <w:color w:val="383838"/>
          <w:spacing w:val="0"/>
          <w:sz w:val="21"/>
          <w:szCs w:val="21"/>
          <w:shd w:val="clear" w:fill="FFFFFF"/>
          <w:vertAlign w:val="baseline"/>
        </w:rPr>
        <w:t>（北京时间）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开标时间：</w:t>
      </w:r>
      <w:r>
        <w:rPr>
          <w:rFonts w:hint="eastAsia" w:ascii="宋体" w:hAnsi="宋体" w:eastAsia="宋体" w:cs="宋体"/>
          <w:i w:val="0"/>
          <w:iCs w:val="0"/>
          <w:caps w:val="0"/>
          <w:color w:val="383838"/>
          <w:spacing w:val="0"/>
          <w:sz w:val="21"/>
          <w:szCs w:val="21"/>
          <w:highlight w:val="cyan"/>
          <w:shd w:val="clear" w:fill="FFFFFF"/>
          <w:vertAlign w:val="baseline"/>
        </w:rPr>
        <w:t>2024年</w:t>
      </w:r>
      <w:r>
        <w:rPr>
          <w:rFonts w:hint="eastAsia" w:ascii="宋体" w:hAnsi="宋体" w:eastAsia="宋体" w:cs="宋体"/>
          <w:i w:val="0"/>
          <w:iCs w:val="0"/>
          <w:caps w:val="0"/>
          <w:color w:val="383838"/>
          <w:spacing w:val="0"/>
          <w:sz w:val="21"/>
          <w:szCs w:val="21"/>
          <w:highlight w:val="cyan"/>
          <w:shd w:val="clear" w:fill="FFFFFF"/>
          <w:vertAlign w:val="baseline"/>
          <w:lang w:val="en-US" w:eastAsia="zh-CN"/>
        </w:rPr>
        <w:t>04</w:t>
      </w:r>
      <w:r>
        <w:rPr>
          <w:rFonts w:hint="eastAsia" w:ascii="宋体" w:hAnsi="宋体" w:eastAsia="宋体" w:cs="宋体"/>
          <w:i w:val="0"/>
          <w:iCs w:val="0"/>
          <w:caps w:val="0"/>
          <w:color w:val="383838"/>
          <w:spacing w:val="0"/>
          <w:sz w:val="21"/>
          <w:szCs w:val="21"/>
          <w:highlight w:val="cyan"/>
          <w:shd w:val="clear" w:fill="FFFFFF"/>
          <w:vertAlign w:val="baseline"/>
        </w:rPr>
        <w:t>月</w:t>
      </w:r>
      <w:r>
        <w:rPr>
          <w:rFonts w:hint="eastAsia" w:ascii="宋体" w:hAnsi="宋体" w:eastAsia="宋体" w:cs="宋体"/>
          <w:i w:val="0"/>
          <w:iCs w:val="0"/>
          <w:caps w:val="0"/>
          <w:color w:val="383838"/>
          <w:spacing w:val="0"/>
          <w:sz w:val="21"/>
          <w:szCs w:val="21"/>
          <w:highlight w:val="cyan"/>
          <w:shd w:val="clear" w:fill="FFFFFF"/>
          <w:vertAlign w:val="baseline"/>
          <w:lang w:val="en-US" w:eastAsia="zh-CN"/>
        </w:rPr>
        <w:t>19</w:t>
      </w:r>
      <w:r>
        <w:rPr>
          <w:rFonts w:hint="eastAsia" w:ascii="宋体" w:hAnsi="宋体" w:eastAsia="宋体" w:cs="宋体"/>
          <w:i w:val="0"/>
          <w:iCs w:val="0"/>
          <w:caps w:val="0"/>
          <w:color w:val="383838"/>
          <w:spacing w:val="0"/>
          <w:sz w:val="21"/>
          <w:szCs w:val="21"/>
          <w:highlight w:val="cyan"/>
          <w:shd w:val="clear" w:fill="FFFFFF"/>
          <w:vertAlign w:val="baseline"/>
        </w:rPr>
        <w:t>日 09点00分（北京时间）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lang w:val="en-US" w:eastAsia="zh-CN"/>
        </w:rPr>
      </w:pPr>
      <w:r>
        <w:rPr>
          <w:rFonts w:hint="eastAsia" w:ascii="宋体" w:hAnsi="宋体" w:eastAsia="宋体" w:cs="宋体"/>
          <w:i w:val="0"/>
          <w:iCs w:val="0"/>
          <w:caps w:val="0"/>
          <w:color w:val="383838"/>
          <w:spacing w:val="0"/>
          <w:sz w:val="21"/>
          <w:szCs w:val="21"/>
          <w:shd w:val="clear" w:fill="FFFFFF"/>
          <w:vertAlign w:val="baseline"/>
        </w:rPr>
        <w:t>地点：福建省福州市鼓楼区鼓东街道湖东路79号福建外运大厦七层</w:t>
      </w:r>
      <w:r>
        <w:rPr>
          <w:rFonts w:hint="eastAsia" w:ascii="宋体" w:hAnsi="宋体" w:eastAsia="宋体" w:cs="宋体"/>
          <w:i w:val="0"/>
          <w:iCs w:val="0"/>
          <w:caps w:val="0"/>
          <w:color w:val="383838"/>
          <w:spacing w:val="0"/>
          <w:sz w:val="21"/>
          <w:szCs w:val="21"/>
          <w:shd w:val="clear" w:fill="FFFFFF"/>
          <w:vertAlign w:val="baseline"/>
          <w:lang w:val="en-US" w:eastAsia="zh-CN"/>
        </w:rPr>
        <w:t>702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五、公告期限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自本公告发布之日起5个工作日。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六、其他补充事宜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Fonts w:hint="eastAsia" w:ascii="宋体" w:hAnsi="宋体" w:eastAsia="宋体" w:cs="宋体"/>
          <w:b/>
          <w:bCs/>
          <w:i w:val="0"/>
          <w:iCs w:val="0"/>
          <w:caps w:val="0"/>
          <w:color w:val="383838"/>
          <w:spacing w:val="0"/>
          <w:sz w:val="21"/>
          <w:szCs w:val="21"/>
          <w:shd w:val="clear" w:fill="FFFFFF"/>
          <w:vertAlign w:val="baseline"/>
        </w:rPr>
        <w:t>1.需要落实的政府采购政策：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进口产品：不适用于本项目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节能产品：适用于（本项目），按照财库〔2019〕9号、财库〔2019〕19号、《市场监管总局关于发布参与实施政府采购节能产品、环境标志产品认证机构名录的公告》（2019年第16号）文件等规定执行。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环境标志产品：适用于（本项目），按照财库〔2019〕9号、财库〔2019〕18号、《市场监管总局关于发布参与实施政府采购节能产品、环境标志产品认证机构名录的公告》（2019年第16号）文件等规定执行。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促进中小企业发展的相关政策：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采购包1：不专门面向中小企业采购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2.投标人的资格要求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2.1法定条件：符合政府采购法第二十二条第一款规定的条件。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2.2特定条件：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采购包1：</w:t>
      </w:r>
    </w:p>
    <w:tbl>
      <w:tblPr>
        <w:tblStyle w:val="5"/>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32"/>
        <w:gridCol w:w="6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1189" w:type="pct"/>
            <w:tcBorders>
              <w:top w:val="single" w:color="000000" w:sz="8" w:space="0"/>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资格审查要求概况</w:t>
            </w:r>
          </w:p>
        </w:tc>
        <w:tc>
          <w:tcPr>
            <w:tcW w:w="3810" w:type="pct"/>
            <w:tcBorders>
              <w:top w:val="single" w:color="000000" w:sz="8" w:space="0"/>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jc w:val="center"/>
        </w:trPr>
        <w:tc>
          <w:tcPr>
            <w:tcW w:w="1189" w:type="pct"/>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资格承诺函</w:t>
            </w:r>
          </w:p>
        </w:tc>
        <w:tc>
          <w:tcPr>
            <w:tcW w:w="3810" w:type="pct"/>
            <w:tcBorders>
              <w:top w:val="nil"/>
              <w:left w:val="nil"/>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根据《进一步推进政府采购领域优化营商环境工作的通知》(榕财采[2021]52号)简化资格证明材料的规定，供应商在投标时，按照规定提供相关承诺函（格式详见采购文件第七章或《福州市财政局关于进一步推进政府采购领域优化营商环境工作的通知》中“资格承诺函”）的，无需再提交财务状况、缴纳税收和社保资金缴纳等证明材料。同时，采购人有权在签订合同前要求中标人提供相关证明材料以核实中标人承诺事项的真实性。投标人应当遵循诚实守信的原则，不得作出虚假承诺，承诺不实的，属于提供虚假材料谋取中标，依法追究相关的法律责任。说明：1.投标人可自行选择是否提供资格承诺函，若不提供资格承诺函的，应按招标文件要求提供相应的证明材料。2.投标人可删减承诺事项，如刪去承诺第1项的，则应按招标文件要求提供财务状况报告。3.若招标文件中有与此处描述不一致的，以此处描述为准。</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2.3是否接受联合体投标：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jc w:val="both"/>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采购包1：不接受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jc w:val="both"/>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※根据上述资格要求，投标文件中应提交的“投标人的资格及资信证明文件”详见招标文件第四章。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jc w:val="both"/>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附1：账户信息</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1" w:leftChars="0" w:right="-92" w:rightChars="-44" w:hanging="11" w:hangingChars="5"/>
              <w:jc w:val="center"/>
              <w:textAlignment w:val="baseline"/>
              <w:rPr>
                <w:rFonts w:hint="eastAsia" w:ascii="宋体" w:hAnsi="宋体" w:eastAsia="宋体" w:cs="宋体"/>
                <w:sz w:val="21"/>
                <w:szCs w:val="21"/>
              </w:rPr>
            </w:pPr>
            <w:r>
              <w:rPr>
                <w:rStyle w:val="7"/>
                <w:rFonts w:hint="eastAsia" w:ascii="宋体" w:hAnsi="宋体" w:eastAsia="宋体" w:cs="宋体"/>
                <w:b/>
                <w:bCs/>
                <w:sz w:val="21"/>
                <w:szCs w:val="21"/>
                <w:vertAlign w:val="baseline"/>
              </w:rPr>
              <w:t>报名获取招标文件、缴交投标保证金（若有）账户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开户名称：福建盛鑫招标代理有限公司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开户银行：中信银行福州分行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银行账号：7341 0101 826 0022 7015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nil"/>
              <w:left w:val="single" w:color="000000" w:sz="8" w:space="0"/>
              <w:bottom w:val="single" w:color="000000" w:sz="8" w:space="0"/>
              <w:right w:val="single" w:color="000000" w:sz="8" w:space="0"/>
            </w:tcBorders>
            <w:shd w:val="clear" w:color="auto" w:fill="auto"/>
            <w:tcMar>
              <w:top w:w="0" w:type="dxa"/>
              <w:left w:w="120" w:type="dxa"/>
              <w:bottom w:w="0" w:type="dxa"/>
              <w:right w:w="12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1、投标人应认真核对账户信息，将报名获取招标文件费用/投标保证金汇入以上账户，并自行承担因汇错报名费用/投标保证金而产生的一切后果。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sz w:val="21"/>
                <w:szCs w:val="21"/>
                <w:vertAlign w:val="baseline"/>
              </w:rPr>
              <w:t>2、投标人在转账或电汇的凭证上应按照以下格式注明，以便核对：“（项目编号：***）的报名费用/投标保证金”。</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1" w:leftChars="0" w:right="-92" w:rightChars="-44" w:hanging="11" w:hangingChars="5"/>
        <w:textAlignment w:val="baseline"/>
        <w:rPr>
          <w:rFonts w:hint="eastAsia" w:ascii="宋体" w:hAnsi="宋体" w:eastAsia="宋体" w:cs="宋体"/>
          <w:sz w:val="21"/>
          <w:szCs w:val="21"/>
        </w:rPr>
      </w:pPr>
      <w:r>
        <w:rPr>
          <w:rStyle w:val="7"/>
          <w:rFonts w:hint="eastAsia" w:ascii="宋体" w:hAnsi="宋体" w:eastAsia="宋体" w:cs="宋体"/>
          <w:b/>
          <w:bCs/>
          <w:i w:val="0"/>
          <w:iCs w:val="0"/>
          <w:caps w:val="0"/>
          <w:color w:val="383838"/>
          <w:spacing w:val="0"/>
          <w:sz w:val="21"/>
          <w:szCs w:val="21"/>
          <w:shd w:val="clear" w:fill="FFFFFF"/>
          <w:vertAlign w:val="baseline"/>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名 称：福州职业技术学院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地址：福建省福州大学城联榕路8号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联系方式：陈老师0591-83760331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2.采购代理机构信息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名 称：福建盛鑫招标代理有限公司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地　址：福州市鼓楼区鼓东街道湖东路79号福建外运大厦七层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联系方式：郑淑明、黄季红、冯丽红0591-83508520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3.项目联系方式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项目联系人：郑淑明、黄季红、冯丽红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00" w:lineRule="exact"/>
        <w:ind w:left="10" w:leftChars="0" w:right="-92" w:rightChars="-44" w:hanging="10" w:hangingChars="5"/>
        <w:textAlignment w:val="baseline"/>
        <w:rPr>
          <w:rFonts w:hint="eastAsia" w:ascii="宋体" w:hAnsi="宋体" w:eastAsia="宋体" w:cs="宋体"/>
          <w:sz w:val="21"/>
          <w:szCs w:val="21"/>
        </w:rPr>
      </w:pPr>
      <w:r>
        <w:rPr>
          <w:rFonts w:hint="eastAsia" w:ascii="宋体" w:hAnsi="宋体" w:eastAsia="宋体" w:cs="宋体"/>
          <w:i w:val="0"/>
          <w:iCs w:val="0"/>
          <w:caps w:val="0"/>
          <w:color w:val="383838"/>
          <w:spacing w:val="0"/>
          <w:sz w:val="21"/>
          <w:szCs w:val="21"/>
          <w:shd w:val="clear" w:fill="FFFFFF"/>
          <w:vertAlign w:val="baseline"/>
        </w:rPr>
        <w:t>电　话：　　0591-83508520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yZTJhNTk1MjU0YjUxNTZkN2Y0ZjA1NTFlM2VkYjgifQ=="/>
  </w:docVars>
  <w:rsids>
    <w:rsidRoot w:val="2F2041C2"/>
    <w:rsid w:val="2F2041C2"/>
    <w:rsid w:val="3FDB1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2024-03-29T02:50:00Z</dcterms:created>
  <dc:creator>NTKO</dc:creator>
  <cp:lastModifiedBy>NTKO</cp:lastModifiedBy>
  <dcterms:modified xsi:type="dcterms:W3CDTF">2024-03-29T06:27:12Z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D7E5CCEDD98849DDA0B198FDBB5AA26C_11</vt:lpwstr>
  </property>
</Properties>
</file>