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hint="eastAsia" w:ascii="黑体" w:hAnsi="黑体" w:eastAsia="黑体" w:cs="黑体"/>
          <w:b/>
          <w:bCs w:val="0"/>
          <w:color w:val="FF0000"/>
          <w:spacing w:val="40"/>
          <w:w w:val="80"/>
          <w:kern w:val="0"/>
          <w:sz w:val="72"/>
          <w:szCs w:val="72"/>
        </w:rPr>
      </w:pPr>
      <w:r>
        <w:rPr>
          <w:rFonts w:hint="eastAsia" w:ascii="黑体" w:hAnsi="黑体" w:eastAsia="黑体" w:cs="黑体"/>
          <w:b/>
          <w:bCs w:val="0"/>
          <w:color w:val="FF0000"/>
          <w:spacing w:val="40"/>
          <w:w w:val="80"/>
          <w:kern w:val="0"/>
          <w:sz w:val="72"/>
          <w:szCs w:val="72"/>
        </w:rPr>
        <w:t>福州职业技术学院学生工作处</w:t>
      </w:r>
    </w:p>
    <w:p>
      <w:pPr>
        <w:spacing w:line="580" w:lineRule="exact"/>
        <w:ind w:firstLine="2500" w:firstLineChars="2500"/>
        <w:rPr>
          <w:rFonts w:hint="eastAsia" w:ascii="仿宋_GB2312" w:eastAsia="仿宋_GB2312"/>
          <w:sz w:val="10"/>
          <w:szCs w:val="32"/>
        </w:rPr>
      </w:pPr>
    </w:p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392430</wp:posOffset>
                </wp:positionV>
                <wp:extent cx="5600700" cy="190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5pt;margin-top:30.9pt;height:0.15pt;width:441pt;z-index:251659264;mso-width-relative:page;mso-height-relative:page;" filled="f" stroked="t" coordsize="21600,21600" o:gfxdata="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/LtqdcAAAAIAQAADwAAAAAAAAABACAAAAAiAAAAZHJzL2Rvd25y&#10;ZXYueG1sUEsBAhQAFAAAAAgAh07iQAixAdn/AQAA9gMAAA4AAAAAAAAAAQAgAAAAJgEAAGRycy9l&#10;Mm9Eb2MueG1sUEsFBgAAAAAGAAYAWQEAAJc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榕职院学〔202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200"/>
        <w:jc w:val="left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/>
        <w:ind w:firstLine="420" w:firstLineChars="0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  <w:highlight w:val="none"/>
        </w:rPr>
        <w:t>关于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highlight w:val="none"/>
          <w:lang w:val="en-US" w:eastAsia="zh-CN"/>
        </w:rPr>
        <w:t>开展</w:t>
      </w:r>
      <w:bookmarkStart w:id="0" w:name="_Hlk50123107"/>
      <w:r>
        <w:rPr>
          <w:rFonts w:hint="eastAsia" w:ascii="黑体" w:hAnsi="黑体" w:eastAsia="黑体" w:cs="宋体"/>
          <w:color w:val="000000"/>
          <w:kern w:val="0"/>
          <w:sz w:val="32"/>
          <w:szCs w:val="32"/>
          <w:highlight w:val="none"/>
          <w:lang w:val="en-US" w:eastAsia="zh-CN"/>
        </w:rPr>
        <w:t>福州职业技术学院“学党史 跟党走”</w:t>
      </w:r>
    </w:p>
    <w:p>
      <w:pPr>
        <w:widowControl/>
        <w:ind w:firstLine="420" w:firstLineChars="0"/>
        <w:jc w:val="center"/>
        <w:rPr>
          <w:rFonts w:ascii="黑体" w:hAnsi="黑体" w:eastAsia="黑体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highlight w:val="none"/>
          <w:lang w:val="en-US" w:eastAsia="zh-CN"/>
        </w:rPr>
        <w:t>大学生党史学习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highlight w:val="none"/>
        </w:rPr>
        <w:t>教育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highlight w:val="none"/>
          <w:lang w:val="en-US" w:eastAsia="zh-CN"/>
        </w:rPr>
        <w:t>系列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highlight w:val="none"/>
        </w:rPr>
        <w:t>活动的通知</w:t>
      </w:r>
      <w:bookmarkEnd w:id="0"/>
    </w:p>
    <w:p>
      <w:pPr>
        <w:widowControl/>
        <w:jc w:val="center"/>
        <w:rPr>
          <w:rFonts w:hint="eastAsia" w:ascii="宋体" w:hAnsi="宋体" w:eastAsia="宋体" w:cs="宋体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各二级学院：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为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深入学习贯彻习近平新时代中国特色社会主义思想，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推动党史学习教育走深走实，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引导学生从党的百年伟大奋斗历程中汲取继续前进的智慧和力量，厚植爱党爱国情，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做到学史明理、学史增信、学史崇德、学史力行，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积极投身“两个一百年”和中华民族伟大复兴的建设历程，根据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校党委党史学习教育工作部署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决定开展系列大学生党史学习教育 ，庆祝中国共产党建党100周年，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具体通知如下：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highlight w:val="none"/>
          <w:lang w:eastAsia="zh-CN"/>
        </w:rPr>
        <w:t>一、教育主题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学党史 跟党走。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highlight w:val="none"/>
          <w:lang w:eastAsia="zh-CN"/>
        </w:rPr>
        <w:t>二、活动时间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2021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月—2021年12月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default" w:ascii="黑体" w:hAnsi="黑体" w:eastAsia="黑体" w:cs="黑体"/>
          <w:b w:val="0"/>
          <w:bCs/>
          <w:sz w:val="28"/>
          <w:szCs w:val="28"/>
          <w:highlight w:val="none"/>
          <w:lang w:eastAsia="zh-CN"/>
        </w:rPr>
      </w:pPr>
      <w:r>
        <w:rPr>
          <w:rFonts w:hint="default" w:ascii="黑体" w:hAnsi="黑体" w:eastAsia="黑体" w:cs="黑体"/>
          <w:b w:val="0"/>
          <w:bCs/>
          <w:sz w:val="28"/>
          <w:szCs w:val="28"/>
          <w:highlight w:val="none"/>
          <w:lang w:eastAsia="zh-CN"/>
        </w:rPr>
        <w:t>三、活动对象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全体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学生。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default" w:ascii="黑体" w:hAnsi="黑体" w:eastAsia="黑体" w:cs="黑体"/>
          <w:b w:val="0"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/>
          <w:kern w:val="2"/>
          <w:sz w:val="28"/>
          <w:szCs w:val="28"/>
          <w:highlight w:val="none"/>
          <w:lang w:val="en-US" w:eastAsia="zh-CN" w:bidi="ar-SA"/>
        </w:rPr>
        <w:t>四、主要安排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（一）“百年党史青年学”知识竞赛活动（5月-6月）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各二级学院组织学生登录“网上重走长征路”网络平台等参加答题，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开展自主理论学习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，并开展班级初赛、二级学院复赛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学校在此基础上组织学校决赛，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竞赛以马克思主义理论学习、习近平新时代中国特色社会主义理论体系、党史学习教育为主要内容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承办单位：学生工作处、团委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责任单位：各二级学院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二</w:t>
      </w:r>
      <w:r>
        <w:rPr>
          <w:rFonts w:hint="default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）“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百年发展青年悟</w:t>
      </w:r>
      <w:r>
        <w:rPr>
          <w:rFonts w:hint="default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”主题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学习</w:t>
      </w:r>
      <w:r>
        <w:rPr>
          <w:rFonts w:hint="default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征文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（5月-10月）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二级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学院组织学生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学习“四史”和系列采访实录、观看党史影片学习中国共产党成立100周年来的光辉历史、伟大成就和宝贵经验，在此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基础上，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组织学生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撰写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原创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主题征文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学校将组织专家评审，表彰获奖征文并汇编成册，在网站、微信、易班等平台同步推送展示。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承办单位：阿里巴巴大数据学院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责任单位：各二级学院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三</w:t>
      </w:r>
      <w:r>
        <w:rPr>
          <w:rFonts w:hint="default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）“百年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画卷青年绘</w:t>
      </w:r>
      <w:r>
        <w:rPr>
          <w:rFonts w:hint="default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”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媒体作品征集（5月-11月）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二级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学院组织学生制作以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中国共产党历史上形成的伟大精神绘画、抖音、短视频、系列海报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作品，将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具有时代性的伟大精神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为主线串起百年党史，让青年学生近距离、深入地学习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中国共产党百年奋斗历史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及其背后的故事。通过生动、形象、接地气的作品，学好党的历史，讲好党的故事。学校将组织专家评审，表彰获奖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作品，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通过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网站、微信、易班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、红色文化长廊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等平台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和形式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推送展示。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承办单位：文化创意学院、特殊教育学院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  <w:u w:val="none"/>
          <w:lang w:val="en-US" w:eastAsia="zh-CN"/>
        </w:rPr>
        <w:t>责任单位：各二级学院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（四）“百年奋进青年说”学生宣讲活动（5月-11月）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各二级学院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学生班级、马克思主义理论读书社为依托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发挥学生党员、积极分子作用，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结合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班会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、主题团日活动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开展党史宣讲教育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，围绕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新民主主义革命时期、社会主义革命和建设时期、改革开放新时期、党的十八大以来等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各</w:t>
      </w:r>
      <w:bookmarkStart w:id="1" w:name="_GoBack"/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个历史时期发生的重大事件、涌现的英模人物、铸就的革命精神、形成的优良传统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家乡变化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等</w:t>
      </w:r>
      <w:bookmarkEnd w:id="1"/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进行主题宣讲，借助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PPT、音乐、视频、情景短剧等形式，辅之以数据、图片等讲述党史故事、传播青年声音，将“党言党语”转化为“青言青语”，引导青年学子在宣讲中坚定理想信念，升华爱国情怀，勇担历史使命。学校在班级宣讲、二级学院遴选基础上举办学校决赛，成立学生宣讲团，广泛开展宣讲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承办单位：机电工程学院、机器人学院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责任单位：各二级学院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（五）“百年历程青年行”校园定向越野活动（5月-6月）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right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将党史学习教育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与体育运动相结合，组织学生参加校园短距离定向赛跑，设置具有党史特色的打卡关卡，在关卡完成“党史知识你来答”“积赞为党庆生”“爬雪山过草地”等任务点，在体育锻炼的过程中学习中国共产党的历史，从党史中汲取智慧和力量，不断砥砺初心与恒心，营造迎接中国共产党建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百年的浓厚校园氛围。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right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承办单位：商学院、交通工程学院、建筑工程学院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责任单位：各二级学院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六</w:t>
      </w:r>
      <w:r>
        <w:rPr>
          <w:rFonts w:hint="default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“百年使命青年担”</w:t>
      </w:r>
      <w:r>
        <w:rPr>
          <w:rFonts w:hint="default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主题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u w:val="none"/>
          <w:lang w:val="en-US" w:eastAsia="zh-CN"/>
        </w:rPr>
        <w:t>实践（5月-12月）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right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二级学院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组织开展以庆祝中国共产党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建党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100周年为主题的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大学生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活动，充分利用校内外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党史学习教育基地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资源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做好活动策划，讲述中国共产党带领全国各族人民走过的百年辉煌历程，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红色政权来之不易、新中国来之不易、中国特色社会主义来之不易，引导学生认识中国共产党为什么能、马克思主义为什么行、中国特色社会主义为什么好，坚定对马克思主义的信仰，对社会主义、共产主义的信念，对实现中华民族伟大复兴中国梦的信心，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激发学生爱国之情，强化学生爱国之志。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责任单位：各二级学院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黑体" w:hAnsi="黑体" w:eastAsia="黑体" w:cs="黑体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highlight w:val="none"/>
          <w:lang w:val="en-US" w:eastAsia="zh-CN"/>
        </w:rPr>
        <w:t>五、活动要求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（一）加强领导，精心组织。各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二级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学院要高度重视，加强统筹协调，周密安排，精心实施，要充分结合实际，务求实效，要积极配合，发挥各自优势，形成整体合力。各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承办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单位要根据通知安排，制定实施方案，分阶段分步骤扎实推进，要牢固树立安全意识，把安全责任落实到活动的各个环节，确保各项活动安全有序、顺利开展，充分展示学生爱国爱党爱校的精神面貌。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各承办单位于2021年5月25日前制定工作方案，报学生工作处。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（二）紧扣主题，突出内涵。各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二级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学院要将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专业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优势、办学特色与活动主题进行紧密结合，精心设计活动方案，创新方式方法，要把庆祝中国共产党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建党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100周年的活动与各类宣传教育活动结合起来，深入开展理想信念教育、爱国主义教育、革命历史和革命传统教育、民族团结教育。要通过学习教育活动，让学生进一步增强“四个意识”，坚定“四个自信”，做到“两个维护”，努力成长为德智体美劳全面发展的社会主义建设者和接班人。主题教育过程中的好经验、好做法、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好成果可随时发送邮箱：908700460@qq.com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（三）加强保障，广泛发动。各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二级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学院要充分发挥广大学生的积极性、主动性、创造性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，发挥马克思主义理论读书社、学生党员、积极分子作用，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增强学生自我教育的能力和水平。要创新方式方法，注重实际效果，增加时代元素，增强活动的吸引力和感染力，生动活泼开展特色鲜明、富有实效的各类活动，吸引学生主动参与，扩大覆盖面，营造育人氛围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激发全体学生听党话跟党走，引导学生永葆初心、牢记使命、继续奋斗，勇往直前。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                                                    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>福州职业技术学院学生工作处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2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highlight w:val="none"/>
          <w:u w:val="none"/>
          <w:lang w:val="en-US" w:eastAsia="zh-CN" w:bidi="ar-SA"/>
        </w:rPr>
        <w:t xml:space="preserve">                             2021年5月19日</w:t>
      </w:r>
    </w:p>
    <w:sectPr>
      <w:footerReference r:id="rId3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6993018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6F"/>
    <w:rsid w:val="000D67F3"/>
    <w:rsid w:val="001A246D"/>
    <w:rsid w:val="001A584A"/>
    <w:rsid w:val="001B4358"/>
    <w:rsid w:val="00203C63"/>
    <w:rsid w:val="00285CF5"/>
    <w:rsid w:val="00343D6B"/>
    <w:rsid w:val="00377ED1"/>
    <w:rsid w:val="003A1C7F"/>
    <w:rsid w:val="003D2664"/>
    <w:rsid w:val="004272DF"/>
    <w:rsid w:val="004323DB"/>
    <w:rsid w:val="00466274"/>
    <w:rsid w:val="00490635"/>
    <w:rsid w:val="004E5E1F"/>
    <w:rsid w:val="00581AA5"/>
    <w:rsid w:val="005A0ED7"/>
    <w:rsid w:val="005C2046"/>
    <w:rsid w:val="005E1F6F"/>
    <w:rsid w:val="0060103E"/>
    <w:rsid w:val="006330C7"/>
    <w:rsid w:val="00637E95"/>
    <w:rsid w:val="00676F66"/>
    <w:rsid w:val="00693E78"/>
    <w:rsid w:val="00735C7B"/>
    <w:rsid w:val="0076053D"/>
    <w:rsid w:val="007A29D5"/>
    <w:rsid w:val="007B2CD0"/>
    <w:rsid w:val="00822059"/>
    <w:rsid w:val="00832E02"/>
    <w:rsid w:val="00886F1B"/>
    <w:rsid w:val="008929FA"/>
    <w:rsid w:val="0089340C"/>
    <w:rsid w:val="00894FFE"/>
    <w:rsid w:val="008F3384"/>
    <w:rsid w:val="00923CE7"/>
    <w:rsid w:val="00933520"/>
    <w:rsid w:val="009A4310"/>
    <w:rsid w:val="009F1563"/>
    <w:rsid w:val="00A105C4"/>
    <w:rsid w:val="00A84CC1"/>
    <w:rsid w:val="00AE08D8"/>
    <w:rsid w:val="00AF11A7"/>
    <w:rsid w:val="00B26699"/>
    <w:rsid w:val="00BE722C"/>
    <w:rsid w:val="00C4568D"/>
    <w:rsid w:val="00CF2A4B"/>
    <w:rsid w:val="00D376D1"/>
    <w:rsid w:val="00D92B80"/>
    <w:rsid w:val="00E278E8"/>
    <w:rsid w:val="00E919B5"/>
    <w:rsid w:val="00F16257"/>
    <w:rsid w:val="00F73847"/>
    <w:rsid w:val="0D9C1C27"/>
    <w:rsid w:val="12542FBA"/>
    <w:rsid w:val="192D4F77"/>
    <w:rsid w:val="1AE67AFF"/>
    <w:rsid w:val="23760161"/>
    <w:rsid w:val="24923B02"/>
    <w:rsid w:val="25B606A1"/>
    <w:rsid w:val="384F7E50"/>
    <w:rsid w:val="3B630651"/>
    <w:rsid w:val="42EC037C"/>
    <w:rsid w:val="449F666A"/>
    <w:rsid w:val="59DC7073"/>
    <w:rsid w:val="5E5E2A07"/>
    <w:rsid w:val="5EA80892"/>
    <w:rsid w:val="5F6B2E04"/>
    <w:rsid w:val="6A0D21CE"/>
    <w:rsid w:val="74140783"/>
    <w:rsid w:val="74C70E5A"/>
    <w:rsid w:val="76FF6662"/>
    <w:rsid w:val="77C949F6"/>
    <w:rsid w:val="7AA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 w:cs="Times New Roman"/>
      <w:kern w:val="0"/>
      <w:sz w:val="20"/>
      <w:szCs w:val="20"/>
    </w:rPr>
  </w:style>
  <w:style w:type="paragraph" w:styleId="3">
    <w:name w:val="Body Text"/>
    <w:basedOn w:val="1"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页眉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2245</Words>
  <Characters>2299</Characters>
  <Lines>11</Lines>
  <Paragraphs>3</Paragraphs>
  <TotalTime>26</TotalTime>
  <ScaleCrop>false</ScaleCrop>
  <LinksUpToDate>false</LinksUpToDate>
  <CharactersWithSpaces>2390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2020-09-04T06:44:00Z</dcterms:created>
  <dc:creator>园子 陈</dc:creator>
  <cp:lastModifiedBy>zizi</cp:lastModifiedBy>
  <cp:lastPrinted>2021-05-27T02:30:26Z</cp:lastPrinted>
  <dcterms:modified xsi:type="dcterms:W3CDTF">2021-05-27T02:30:41Z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A8771D45915D4044B9B40D06BCC85FED</vt:lpwstr>
  </property>
</Properties>
</file>