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240" w:afterAutospacing="0" w:line="432" w:lineRule="atLeast"/>
        <w:ind w:left="0" w:right="0" w:firstLine="0"/>
        <w:jc w:val="center"/>
        <w:textAlignment w:val="baseline"/>
        <w:rPr>
          <w:rFonts w:hint="eastAsia" w:ascii="微软雅黑" w:hAnsi="微软雅黑" w:eastAsia="微软雅黑" w:cs="微软雅黑"/>
          <w:b/>
          <w:bCs/>
          <w:i w:val="0"/>
          <w:iCs w:val="0"/>
          <w:caps w:val="0"/>
          <w:color w:val="383940"/>
          <w:spacing w:val="0"/>
          <w:sz w:val="30"/>
          <w:szCs w:val="30"/>
          <w:shd w:val="clear" w:fill="FFFFFF"/>
          <w:vertAlign w:val="baseline"/>
          <w:lang w:eastAsia="zh-CN"/>
        </w:rPr>
      </w:pPr>
      <w:r>
        <w:rPr>
          <w:rFonts w:hint="eastAsia" w:ascii="微软雅黑" w:hAnsi="微软雅黑" w:eastAsia="微软雅黑" w:cs="微软雅黑"/>
          <w:b/>
          <w:bCs/>
          <w:i w:val="0"/>
          <w:iCs w:val="0"/>
          <w:caps w:val="0"/>
          <w:color w:val="383940"/>
          <w:spacing w:val="0"/>
          <w:sz w:val="30"/>
          <w:szCs w:val="30"/>
          <w:shd w:val="clear" w:fill="FFFFFF"/>
          <w:vertAlign w:val="baseline"/>
        </w:rPr>
        <w:t>关于</w:t>
      </w:r>
      <w:r>
        <w:rPr>
          <w:rFonts w:hint="eastAsia" w:ascii="微软雅黑" w:hAnsi="微软雅黑" w:eastAsia="微软雅黑" w:cs="微软雅黑"/>
          <w:b/>
          <w:bCs/>
          <w:i w:val="0"/>
          <w:iCs w:val="0"/>
          <w:caps w:val="0"/>
          <w:color w:val="383940"/>
          <w:spacing w:val="0"/>
          <w:sz w:val="30"/>
          <w:szCs w:val="30"/>
          <w:shd w:val="clear" w:fill="FFFFFF"/>
          <w:vertAlign w:val="baseline"/>
          <w:lang w:eastAsia="zh-CN"/>
        </w:rPr>
        <w:t>福州职业技术学院工科大楼交通工程系实训基地教学基础设备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240" w:afterAutospacing="0" w:line="432" w:lineRule="atLeast"/>
        <w:ind w:left="0" w:right="0" w:firstLine="0"/>
        <w:jc w:val="center"/>
        <w:textAlignment w:val="baseline"/>
        <w:rPr>
          <w:rFonts w:hint="eastAsia" w:ascii="宋体" w:hAnsi="宋体" w:eastAsia="微软雅黑" w:cs="宋体"/>
          <w:sz w:val="30"/>
          <w:szCs w:val="30"/>
          <w:lang w:eastAsia="zh-CN"/>
        </w:rPr>
      </w:pPr>
      <w:r>
        <w:rPr>
          <w:rFonts w:hint="eastAsia" w:ascii="微软雅黑" w:hAnsi="微软雅黑" w:eastAsia="微软雅黑" w:cs="微软雅黑"/>
          <w:b/>
          <w:bCs/>
          <w:i w:val="0"/>
          <w:iCs w:val="0"/>
          <w:caps w:val="0"/>
          <w:color w:val="383940"/>
          <w:spacing w:val="0"/>
          <w:sz w:val="30"/>
          <w:szCs w:val="30"/>
          <w:shd w:val="clear" w:fill="FFFFFF"/>
          <w:vertAlign w:val="baseline"/>
          <w:lang w:eastAsia="zh-CN"/>
        </w:rPr>
        <w:t>采购项目</w:t>
      </w:r>
      <w:r>
        <w:rPr>
          <w:rFonts w:hint="eastAsia" w:ascii="微软雅黑" w:hAnsi="微软雅黑" w:eastAsia="微软雅黑" w:cs="微软雅黑"/>
          <w:b/>
          <w:bCs/>
          <w:i w:val="0"/>
          <w:iCs w:val="0"/>
          <w:caps w:val="0"/>
          <w:color w:val="383940"/>
          <w:spacing w:val="0"/>
          <w:sz w:val="30"/>
          <w:szCs w:val="30"/>
          <w:shd w:val="clear" w:fill="FFFFFF"/>
          <w:vertAlign w:val="baseline"/>
        </w:rPr>
        <w:t>网上竞价公告</w:t>
      </w:r>
      <w:r>
        <w:rPr>
          <w:rFonts w:hint="eastAsia" w:ascii="微软雅黑" w:hAnsi="微软雅黑" w:eastAsia="微软雅黑" w:cs="微软雅黑"/>
          <w:b/>
          <w:bCs/>
          <w:i w:val="0"/>
          <w:iCs w:val="0"/>
          <w:caps w:val="0"/>
          <w:color w:val="383940"/>
          <w:spacing w:val="0"/>
          <w:sz w:val="30"/>
          <w:szCs w:val="30"/>
          <w:shd w:val="clear" w:fill="FFFFFF"/>
          <w:vertAlign w:val="baseline"/>
          <w:lang w:eastAsia="zh-CN"/>
        </w:rPr>
        <w:t>（第二次）</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福建省宏瑞招标代理有限公司受福州职业技术学院委托，现对</w:t>
      </w:r>
      <w:r>
        <w:rPr>
          <w:rFonts w:hint="eastAsia" w:ascii="宋体" w:hAnsi="宋体" w:eastAsia="宋体" w:cs="宋体"/>
          <w:sz w:val="24"/>
          <w:szCs w:val="24"/>
          <w:lang w:eastAsia="zh-CN"/>
        </w:rPr>
        <w:t>福州职业技术学院工科大楼交通工程系实训基地教学基础设备采购项目</w:t>
      </w:r>
      <w:r>
        <w:rPr>
          <w:rFonts w:hint="eastAsia" w:ascii="宋体" w:hAnsi="宋体" w:eastAsia="宋体" w:cs="宋体"/>
          <w:sz w:val="24"/>
          <w:szCs w:val="24"/>
        </w:rPr>
        <w:t>进行网上竞价采购，欢迎合格的供应商前来投标。</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Style w:val="11"/>
          <w:rFonts w:hint="eastAsia" w:ascii="宋体" w:hAnsi="宋体"/>
          <w:b w:val="0"/>
          <w:i w:val="0"/>
          <w:caps w:val="0"/>
          <w:spacing w:val="0"/>
          <w:w w:val="100"/>
          <w:kern w:val="0"/>
          <w:sz w:val="24"/>
          <w:szCs w:val="24"/>
          <w:lang w:val="en-US" w:eastAsia="zh-CN" w:bidi="ar-SA"/>
        </w:rPr>
      </w:pPr>
      <w:r>
        <w:rPr>
          <w:rFonts w:hint="eastAsia" w:ascii="宋体" w:hAnsi="宋体" w:eastAsia="宋体" w:cs="宋体"/>
          <w:b/>
          <w:bCs/>
          <w:sz w:val="24"/>
          <w:szCs w:val="24"/>
        </w:rPr>
        <w:t>项目名称：</w:t>
      </w:r>
      <w:r>
        <w:rPr>
          <w:rStyle w:val="11"/>
          <w:rFonts w:hint="eastAsia" w:ascii="宋体" w:hAnsi="宋体"/>
          <w:b w:val="0"/>
          <w:i w:val="0"/>
          <w:caps w:val="0"/>
          <w:spacing w:val="0"/>
          <w:w w:val="100"/>
          <w:kern w:val="0"/>
          <w:sz w:val="24"/>
          <w:szCs w:val="24"/>
          <w:lang w:val="en-US" w:eastAsia="zh-CN" w:bidi="ar-SA"/>
        </w:rPr>
        <w:t>福州职业技术学院工科大楼交通工程系实训基地教学基础设备采购项目</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default" w:ascii="宋体" w:hAnsi="宋体" w:eastAsia="宋体" w:cs="宋体"/>
          <w:sz w:val="24"/>
          <w:szCs w:val="24"/>
          <w:lang w:val="en-US"/>
        </w:rPr>
      </w:pPr>
      <w:r>
        <w:rPr>
          <w:rFonts w:hint="eastAsia" w:ascii="宋体" w:hAnsi="宋体" w:eastAsia="宋体" w:cs="宋体"/>
          <w:b/>
          <w:bCs/>
          <w:sz w:val="24"/>
          <w:szCs w:val="24"/>
        </w:rPr>
        <w:t>项目编号：</w:t>
      </w:r>
      <w:r>
        <w:rPr>
          <w:rStyle w:val="11"/>
          <w:rFonts w:hint="eastAsia" w:ascii="宋体" w:hAnsi="宋体"/>
          <w:kern w:val="0"/>
          <w:sz w:val="24"/>
          <w:highlight w:val="none"/>
          <w:lang w:eastAsia="zh-CN"/>
        </w:rPr>
        <w:t>FJHRWJ2024002</w:t>
      </w:r>
      <w:r>
        <w:rPr>
          <w:rStyle w:val="11"/>
          <w:rFonts w:hint="eastAsia" w:ascii="宋体" w:hAnsi="宋体"/>
          <w:kern w:val="0"/>
          <w:sz w:val="24"/>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采购单位联系方式：</w:t>
      </w:r>
      <w:bookmarkStart w:id="0" w:name="_GoBack"/>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采购单位：福州职业技术学院</w:t>
      </w:r>
    </w:p>
    <w:bookmarkEnd w:id="0"/>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采购单位地址：福州市闽侯上街联榕路8号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采购单位联系方式：陈老师，0591-83760331</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代理机构联系方式：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代理机构：福建省宏瑞招标代理有限公司</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代理机构联系人：</w:t>
      </w:r>
      <w:r>
        <w:rPr>
          <w:rFonts w:hint="eastAsia" w:ascii="宋体" w:hAnsi="宋体" w:eastAsia="宋体" w:cs="宋体"/>
          <w:sz w:val="24"/>
          <w:szCs w:val="24"/>
          <w:lang w:eastAsia="zh-CN"/>
        </w:rPr>
        <w:t>黄工，</w:t>
      </w:r>
      <w:r>
        <w:rPr>
          <w:rFonts w:hint="eastAsia" w:ascii="宋体" w:hAnsi="宋体" w:eastAsia="宋体" w:cs="宋体"/>
          <w:sz w:val="24"/>
          <w:szCs w:val="24"/>
        </w:rPr>
        <w:t>0591-83701177</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代理机构地址： 福州市鼓楼区西洪路518号恩特楼A-402/403</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一、采购项目内容</w:t>
      </w:r>
    </w:p>
    <w:p>
      <w:pPr>
        <w:pStyle w:val="10"/>
        <w:spacing w:line="460" w:lineRule="exact"/>
        <w:ind w:firstLine="360" w:firstLineChars="150"/>
        <w:jc w:val="right"/>
        <w:rPr>
          <w:rStyle w:val="11"/>
          <w:rFonts w:ascii="宋体" w:hAnsi="宋体"/>
          <w:sz w:val="24"/>
          <w:highlight w:val="none"/>
        </w:rPr>
      </w:pPr>
      <w:r>
        <w:rPr>
          <w:rStyle w:val="11"/>
          <w:rFonts w:ascii="宋体" w:hAnsi="宋体"/>
          <w:sz w:val="24"/>
          <w:highlight w:val="none"/>
        </w:rPr>
        <w:t>金额单位：人民币元</w:t>
      </w:r>
    </w:p>
    <w:tbl>
      <w:tblPr>
        <w:tblStyle w:val="7"/>
        <w:tblW w:w="91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42"/>
        <w:gridCol w:w="928"/>
        <w:gridCol w:w="2815"/>
        <w:gridCol w:w="1184"/>
        <w:gridCol w:w="1922"/>
        <w:gridCol w:w="14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jc w:val="center"/>
        </w:trPr>
        <w:tc>
          <w:tcPr>
            <w:tcW w:w="842" w:type="dxa"/>
            <w:tcBorders>
              <w:top w:val="single" w:color="000000" w:sz="4" w:space="0"/>
              <w:left w:val="single" w:color="000000" w:sz="4" w:space="0"/>
              <w:bottom w:val="single" w:color="000000" w:sz="4" w:space="0"/>
              <w:right w:val="single" w:color="000000" w:sz="4" w:space="0"/>
            </w:tcBorders>
            <w:vAlign w:val="center"/>
          </w:tcPr>
          <w:p>
            <w:pPr>
              <w:pStyle w:val="12"/>
              <w:snapToGrid w:val="0"/>
              <w:spacing w:line="460" w:lineRule="exact"/>
              <w:jc w:val="center"/>
              <w:rPr>
                <w:rStyle w:val="11"/>
                <w:rFonts w:hAnsi="宋体"/>
                <w:b/>
                <w:spacing w:val="-17"/>
                <w:sz w:val="24"/>
                <w:highlight w:val="none"/>
              </w:rPr>
            </w:pPr>
            <w:r>
              <w:rPr>
                <w:rStyle w:val="11"/>
                <w:rFonts w:hAnsi="宋体"/>
                <w:b/>
                <w:spacing w:val="-17"/>
                <w:sz w:val="24"/>
                <w:highlight w:val="none"/>
              </w:rPr>
              <w:t>合同包</w:t>
            </w:r>
          </w:p>
        </w:tc>
        <w:tc>
          <w:tcPr>
            <w:tcW w:w="928" w:type="dxa"/>
            <w:tcBorders>
              <w:top w:val="single" w:color="000000" w:sz="4" w:space="0"/>
              <w:left w:val="single" w:color="000000" w:sz="4" w:space="0"/>
              <w:bottom w:val="single" w:color="000000" w:sz="4" w:space="0"/>
              <w:right w:val="single" w:color="000000" w:sz="4" w:space="0"/>
            </w:tcBorders>
            <w:vAlign w:val="center"/>
          </w:tcPr>
          <w:p>
            <w:pPr>
              <w:pStyle w:val="12"/>
              <w:snapToGrid w:val="0"/>
              <w:spacing w:line="460" w:lineRule="exact"/>
              <w:jc w:val="center"/>
              <w:rPr>
                <w:rStyle w:val="11"/>
                <w:rFonts w:hAnsi="宋体"/>
                <w:b/>
                <w:spacing w:val="-17"/>
                <w:sz w:val="24"/>
                <w:highlight w:val="none"/>
              </w:rPr>
            </w:pPr>
            <w:r>
              <w:rPr>
                <w:rStyle w:val="11"/>
                <w:rFonts w:hAnsi="宋体" w:cs="宋体"/>
                <w:b/>
                <w:bCs/>
                <w:spacing w:val="-17"/>
                <w:sz w:val="24"/>
                <w:highlight w:val="none"/>
              </w:rPr>
              <w:t>品目号</w:t>
            </w:r>
          </w:p>
        </w:tc>
        <w:tc>
          <w:tcPr>
            <w:tcW w:w="2815" w:type="dxa"/>
            <w:tcBorders>
              <w:top w:val="single" w:color="000000" w:sz="4" w:space="0"/>
              <w:left w:val="single" w:color="000000" w:sz="4" w:space="0"/>
              <w:bottom w:val="single" w:color="000000" w:sz="4" w:space="0"/>
              <w:right w:val="single" w:color="000000" w:sz="4" w:space="0"/>
            </w:tcBorders>
            <w:vAlign w:val="center"/>
          </w:tcPr>
          <w:p>
            <w:pPr>
              <w:pStyle w:val="12"/>
              <w:snapToGrid w:val="0"/>
              <w:spacing w:line="460" w:lineRule="exact"/>
              <w:jc w:val="center"/>
              <w:rPr>
                <w:rStyle w:val="11"/>
                <w:rFonts w:hAnsi="宋体"/>
                <w:b/>
                <w:spacing w:val="-17"/>
                <w:sz w:val="24"/>
                <w:highlight w:val="none"/>
              </w:rPr>
            </w:pPr>
            <w:r>
              <w:rPr>
                <w:rStyle w:val="11"/>
                <w:rFonts w:hAnsi="宋体" w:cs="宋体"/>
                <w:b/>
                <w:bCs/>
                <w:spacing w:val="-17"/>
                <w:sz w:val="24"/>
                <w:highlight w:val="none"/>
              </w:rPr>
              <w:t>采购标的</w:t>
            </w:r>
          </w:p>
        </w:tc>
        <w:tc>
          <w:tcPr>
            <w:tcW w:w="1184" w:type="dxa"/>
            <w:tcBorders>
              <w:top w:val="single" w:color="000000" w:sz="4" w:space="0"/>
              <w:left w:val="single" w:color="000000" w:sz="4" w:space="0"/>
              <w:bottom w:val="single" w:color="000000" w:sz="4" w:space="0"/>
              <w:right w:val="single" w:color="000000" w:sz="4" w:space="0"/>
            </w:tcBorders>
            <w:vAlign w:val="center"/>
          </w:tcPr>
          <w:p>
            <w:pPr>
              <w:pStyle w:val="12"/>
              <w:snapToGrid w:val="0"/>
              <w:spacing w:line="460" w:lineRule="exact"/>
              <w:jc w:val="center"/>
              <w:rPr>
                <w:rStyle w:val="11"/>
                <w:rFonts w:hAnsi="宋体"/>
                <w:b/>
                <w:spacing w:val="-17"/>
                <w:sz w:val="24"/>
                <w:highlight w:val="none"/>
              </w:rPr>
            </w:pPr>
            <w:r>
              <w:rPr>
                <w:rStyle w:val="11"/>
                <w:rFonts w:hAnsi="宋体"/>
                <w:b/>
                <w:spacing w:val="-17"/>
                <w:sz w:val="24"/>
                <w:highlight w:val="none"/>
              </w:rPr>
              <w:t xml:space="preserve"> 数量</w:t>
            </w:r>
          </w:p>
        </w:tc>
        <w:tc>
          <w:tcPr>
            <w:tcW w:w="1922" w:type="dxa"/>
            <w:tcBorders>
              <w:top w:val="single" w:color="000000" w:sz="4" w:space="0"/>
              <w:left w:val="single" w:color="000000" w:sz="4" w:space="0"/>
              <w:bottom w:val="single" w:color="000000" w:sz="4" w:space="0"/>
              <w:right w:val="single" w:color="000000" w:sz="4" w:space="0"/>
            </w:tcBorders>
            <w:vAlign w:val="center"/>
          </w:tcPr>
          <w:p>
            <w:pPr>
              <w:pStyle w:val="12"/>
              <w:snapToGrid w:val="0"/>
              <w:spacing w:line="460" w:lineRule="exact"/>
              <w:jc w:val="center"/>
              <w:rPr>
                <w:rStyle w:val="11"/>
                <w:rFonts w:hAnsi="宋体"/>
                <w:b/>
                <w:spacing w:val="-17"/>
                <w:sz w:val="24"/>
                <w:highlight w:val="none"/>
              </w:rPr>
            </w:pPr>
            <w:r>
              <w:rPr>
                <w:rStyle w:val="11"/>
                <w:rFonts w:hAnsi="宋体" w:cs="宋体"/>
                <w:b/>
                <w:bCs/>
                <w:spacing w:val="-17"/>
                <w:sz w:val="24"/>
                <w:highlight w:val="none"/>
              </w:rPr>
              <w:t>最高限价（总价）</w:t>
            </w:r>
          </w:p>
        </w:tc>
        <w:tc>
          <w:tcPr>
            <w:tcW w:w="1455" w:type="dxa"/>
            <w:tcBorders>
              <w:top w:val="single" w:color="000000" w:sz="4" w:space="0"/>
              <w:left w:val="single" w:color="000000" w:sz="4" w:space="0"/>
              <w:bottom w:val="single" w:color="000000" w:sz="4" w:space="0"/>
              <w:right w:val="single" w:color="000000" w:sz="4" w:space="0"/>
            </w:tcBorders>
            <w:vAlign w:val="center"/>
          </w:tcPr>
          <w:p>
            <w:pPr>
              <w:pStyle w:val="12"/>
              <w:snapToGrid w:val="0"/>
              <w:spacing w:line="460" w:lineRule="exact"/>
              <w:jc w:val="center"/>
              <w:rPr>
                <w:rStyle w:val="11"/>
                <w:rFonts w:hAnsi="宋体"/>
                <w:b/>
                <w:spacing w:val="-17"/>
                <w:sz w:val="24"/>
                <w:highlight w:val="none"/>
              </w:rPr>
            </w:pPr>
            <w:r>
              <w:rPr>
                <w:rStyle w:val="11"/>
                <w:rFonts w:hAnsi="宋体"/>
                <w:b/>
                <w:spacing w:val="-17"/>
                <w:sz w:val="24"/>
                <w:highlight w:val="none"/>
              </w:rPr>
              <w:t>竞价保证金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jc w:val="center"/>
        </w:trPr>
        <w:tc>
          <w:tcPr>
            <w:tcW w:w="842"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1"/>
                <w:rFonts w:ascii="宋体" w:hAnsi="宋体"/>
                <w:spacing w:val="-11"/>
                <w:sz w:val="24"/>
                <w:highlight w:val="none"/>
              </w:rPr>
            </w:pPr>
            <w:r>
              <w:rPr>
                <w:rStyle w:val="11"/>
                <w:rFonts w:ascii="宋体" w:hAnsi="宋体"/>
                <w:spacing w:val="-11"/>
                <w:sz w:val="24"/>
                <w:highlight w:val="none"/>
              </w:rPr>
              <w:t>1</w:t>
            </w:r>
          </w:p>
        </w:tc>
        <w:tc>
          <w:tcPr>
            <w:tcW w:w="928"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1"/>
                <w:rFonts w:ascii="宋体" w:hAnsi="宋体"/>
                <w:spacing w:val="-11"/>
                <w:sz w:val="24"/>
                <w:highlight w:val="none"/>
              </w:rPr>
            </w:pPr>
            <w:r>
              <w:rPr>
                <w:rStyle w:val="11"/>
                <w:rFonts w:ascii="宋体" w:hAnsi="宋体"/>
                <w:spacing w:val="-11"/>
                <w:sz w:val="24"/>
                <w:highlight w:val="none"/>
              </w:rPr>
              <w:t>1-1</w:t>
            </w:r>
          </w:p>
        </w:tc>
        <w:tc>
          <w:tcPr>
            <w:tcW w:w="2815"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1"/>
                <w:rFonts w:hint="eastAsia" w:ascii="宋体" w:hAnsi="宋体" w:eastAsia="宋体"/>
                <w:spacing w:val="-11"/>
                <w:sz w:val="24"/>
                <w:highlight w:val="none"/>
                <w:lang w:eastAsia="zh-CN"/>
              </w:rPr>
            </w:pPr>
            <w:r>
              <w:rPr>
                <w:rStyle w:val="11"/>
                <w:rFonts w:hint="eastAsia" w:ascii="宋体" w:hAnsi="宋体" w:eastAsia="宋体"/>
                <w:spacing w:val="-11"/>
                <w:sz w:val="24"/>
                <w:highlight w:val="none"/>
                <w:lang w:eastAsia="zh-CN"/>
              </w:rPr>
              <w:t>福州职业技术学院工科大楼交通工程系实训基地教学基础设备采购项目</w:t>
            </w:r>
          </w:p>
        </w:tc>
        <w:tc>
          <w:tcPr>
            <w:tcW w:w="1184"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1"/>
                <w:rFonts w:ascii="宋体" w:hAnsi="宋体"/>
                <w:spacing w:val="-11"/>
                <w:sz w:val="24"/>
                <w:highlight w:val="none"/>
              </w:rPr>
            </w:pPr>
            <w:r>
              <w:rPr>
                <w:rStyle w:val="11"/>
                <w:rFonts w:ascii="宋体" w:hAnsi="宋体"/>
                <w:spacing w:val="-11"/>
                <w:sz w:val="24"/>
                <w:highlight w:val="none"/>
              </w:rPr>
              <w:t>1批</w:t>
            </w:r>
          </w:p>
        </w:tc>
        <w:tc>
          <w:tcPr>
            <w:tcW w:w="1922"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1"/>
                <w:rFonts w:ascii="宋体" w:hAnsi="宋体"/>
                <w:spacing w:val="-11"/>
                <w:sz w:val="24"/>
                <w:highlight w:val="none"/>
              </w:rPr>
            </w:pPr>
            <w:r>
              <w:rPr>
                <w:rStyle w:val="11"/>
                <w:rFonts w:hint="eastAsia" w:ascii="宋体" w:hAnsi="宋体"/>
                <w:spacing w:val="-11"/>
                <w:sz w:val="24"/>
                <w:highlight w:val="none"/>
              </w:rPr>
              <w:t>96550</w:t>
            </w:r>
          </w:p>
        </w:tc>
        <w:tc>
          <w:tcPr>
            <w:tcW w:w="1455"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jc w:val="center"/>
              <w:rPr>
                <w:rStyle w:val="11"/>
                <w:rFonts w:ascii="宋体" w:hAnsi="宋体"/>
                <w:spacing w:val="-11"/>
                <w:sz w:val="24"/>
                <w:highlight w:val="none"/>
              </w:rPr>
            </w:pPr>
            <w:r>
              <w:rPr>
                <w:rStyle w:val="11"/>
                <w:rFonts w:ascii="宋体" w:hAnsi="宋体"/>
                <w:spacing w:val="-11"/>
                <w:sz w:val="24"/>
                <w:highlight w:val="none"/>
              </w:rPr>
              <w:t>1000</w:t>
            </w:r>
          </w:p>
        </w:tc>
      </w:tr>
    </w:tbl>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rPr>
      </w:pPr>
      <w:r>
        <w:rPr>
          <w:rFonts w:hint="eastAsia" w:ascii="宋体" w:hAnsi="宋体" w:eastAsia="宋体" w:cs="宋体"/>
          <w:b/>
          <w:bCs/>
          <w:sz w:val="24"/>
          <w:szCs w:val="24"/>
        </w:rPr>
        <w:t>二、网上竞价开始时间：</w:t>
      </w: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2</w:t>
      </w:r>
      <w:r>
        <w:rPr>
          <w:rFonts w:hint="eastAsia" w:ascii="宋体" w:hAnsi="宋体" w:eastAsia="宋体" w:cs="宋体"/>
          <w:sz w:val="24"/>
          <w:szCs w:val="24"/>
        </w:rPr>
        <w:t>月</w:t>
      </w:r>
      <w:r>
        <w:rPr>
          <w:rFonts w:hint="eastAsia" w:ascii="宋体" w:hAnsi="宋体" w:eastAsia="宋体" w:cs="宋体"/>
          <w:sz w:val="24"/>
          <w:szCs w:val="24"/>
          <w:lang w:val="en-US" w:eastAsia="zh-CN"/>
        </w:rPr>
        <w:t>26</w:t>
      </w:r>
      <w:r>
        <w:rPr>
          <w:rFonts w:hint="eastAsia" w:ascii="宋体" w:hAnsi="宋体" w:eastAsia="宋体" w:cs="宋体"/>
          <w:sz w:val="24"/>
          <w:szCs w:val="24"/>
        </w:rPr>
        <w:t xml:space="preserve">日 </w:t>
      </w:r>
      <w:r>
        <w:rPr>
          <w:rFonts w:hint="eastAsia" w:ascii="宋体" w:hAnsi="宋体" w:eastAsia="宋体" w:cs="宋体"/>
          <w:sz w:val="24"/>
          <w:szCs w:val="24"/>
          <w:lang w:val="en-US" w:eastAsia="zh-CN"/>
        </w:rPr>
        <w:t>09</w:t>
      </w:r>
      <w:r>
        <w:rPr>
          <w:rFonts w:hint="eastAsia" w:ascii="宋体" w:hAnsi="宋体" w:eastAsia="宋体" w:cs="宋体"/>
          <w:sz w:val="24"/>
          <w:szCs w:val="24"/>
        </w:rPr>
        <w:t>:</w:t>
      </w:r>
      <w:r>
        <w:rPr>
          <w:rFonts w:hint="eastAsia" w:ascii="宋体" w:hAnsi="宋体" w:eastAsia="宋体" w:cs="宋体"/>
          <w:sz w:val="24"/>
          <w:szCs w:val="24"/>
          <w:lang w:val="en-US" w:eastAsia="zh-CN"/>
        </w:rPr>
        <w:t>0</w:t>
      </w:r>
      <w:r>
        <w:rPr>
          <w:rFonts w:hint="eastAsia" w:ascii="宋体" w:hAnsi="宋体" w:eastAsia="宋体" w:cs="宋体"/>
          <w:sz w:val="24"/>
          <w:szCs w:val="24"/>
        </w:rPr>
        <w:t>0</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三、其它补充事宜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1.报名方式</w:t>
      </w:r>
    </w:p>
    <w:p>
      <w:pPr>
        <w:keepNext w:val="0"/>
        <w:keepLines w:val="0"/>
        <w:pageBreakBefore w:val="0"/>
        <w:widowControl w:val="0"/>
        <w:kinsoku/>
        <w:wordWrap/>
        <w:overflowPunct/>
        <w:topLinePunct w:val="0"/>
        <w:autoSpaceDE/>
        <w:autoSpaceDN/>
        <w:bidi w:val="0"/>
        <w:adjustRightInd/>
        <w:snapToGrid/>
        <w:spacing w:line="460" w:lineRule="exact"/>
        <w:ind w:left="479" w:leftChars="228"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（1）现场或通过电子邮件方式报名的潜在竞价人，须于[202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2</w:t>
      </w:r>
      <w:r>
        <w:rPr>
          <w:rFonts w:hint="eastAsia" w:ascii="宋体" w:hAnsi="宋体" w:eastAsia="宋体" w:cs="宋体"/>
          <w:sz w:val="24"/>
          <w:szCs w:val="24"/>
        </w:rPr>
        <w:t>月</w:t>
      </w:r>
      <w:r>
        <w:rPr>
          <w:rFonts w:hint="eastAsia" w:ascii="宋体" w:hAnsi="宋体" w:eastAsia="宋体" w:cs="宋体"/>
          <w:sz w:val="24"/>
          <w:szCs w:val="24"/>
          <w:lang w:val="en-US" w:eastAsia="zh-CN"/>
        </w:rPr>
        <w:t>21</w:t>
      </w:r>
      <w:r>
        <w:rPr>
          <w:rFonts w:hint="eastAsia" w:ascii="宋体" w:hAnsi="宋体" w:eastAsia="宋体" w:cs="宋体"/>
          <w:sz w:val="24"/>
          <w:szCs w:val="24"/>
        </w:rPr>
        <w:t>日至202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rPr>
      </w:pPr>
      <w:r>
        <w:rPr>
          <w:rFonts w:hint="eastAsia" w:ascii="宋体" w:hAnsi="宋体" w:eastAsia="宋体" w:cs="宋体"/>
          <w:sz w:val="24"/>
          <w:szCs w:val="24"/>
        </w:rPr>
        <w:t>月</w:t>
      </w:r>
      <w:r>
        <w:rPr>
          <w:rFonts w:hint="eastAsia" w:ascii="宋体" w:hAnsi="宋体" w:eastAsia="宋体" w:cs="宋体"/>
          <w:sz w:val="24"/>
          <w:szCs w:val="24"/>
          <w:lang w:val="en-US" w:eastAsia="zh-CN"/>
        </w:rPr>
        <w:t>23</w:t>
      </w:r>
      <w:r>
        <w:rPr>
          <w:rFonts w:hint="eastAsia" w:ascii="宋体" w:hAnsi="宋体" w:eastAsia="宋体" w:cs="宋体"/>
          <w:sz w:val="24"/>
          <w:szCs w:val="24"/>
        </w:rPr>
        <w:t>日]，[每天9:00到11:30，14:30到17:00，法定节假日除外] (北京时间)按网上竞价文件“第三章 证明材料格式”要求并在网上竞价报名截止时间前在福建省宏瑞招标代理有限公司网站竞价平台（http://bid.fjhongrui.com）扫描上传合格的证明材料，未按以上要求提交报名材料的供应商，将导致其竞价资格被拒绝。</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（2）报名地址：福建省宏瑞招标代理有限公司（福建省福州市鼓楼区西洪路518号恩特楼A-402）。</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（3）网上竞价报名费0元。</w:t>
      </w:r>
    </w:p>
    <w:p>
      <w:pPr>
        <w:spacing w:line="46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（4）本项目网上竞价文件在</w:t>
      </w:r>
      <w:r>
        <w:rPr>
          <w:rStyle w:val="11"/>
          <w:rFonts w:ascii="宋体" w:hAnsi="宋体" w:eastAsia="宋体"/>
          <w:color w:val="auto"/>
          <w:sz w:val="24"/>
          <w:highlight w:val="none"/>
        </w:rPr>
        <w:t>中国政府采购网，网址www.ccgp.gov.cn、福建省宏瑞招标代理有限公司(http://www.fjhongrui.com )。</w:t>
      </w:r>
      <w:r>
        <w:rPr>
          <w:rFonts w:hint="eastAsia" w:ascii="宋体" w:hAnsi="宋体" w:eastAsia="宋体" w:cs="宋体"/>
          <w:sz w:val="24"/>
          <w:szCs w:val="24"/>
        </w:rPr>
        <w:t>网上竞价招标公告中自行下载。</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四、预算金额：</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预算金额：</w:t>
      </w:r>
      <w:r>
        <w:rPr>
          <w:rFonts w:hint="eastAsia" w:ascii="宋体" w:hAnsi="宋体" w:eastAsia="宋体" w:cs="宋体"/>
          <w:sz w:val="24"/>
          <w:szCs w:val="24"/>
          <w:lang w:val="en-US" w:eastAsia="zh-CN"/>
        </w:rPr>
        <w:t>9.655</w:t>
      </w:r>
      <w:r>
        <w:rPr>
          <w:rFonts w:hint="eastAsia" w:ascii="宋体" w:hAnsi="宋体" w:eastAsia="宋体" w:cs="宋体"/>
          <w:sz w:val="24"/>
          <w:szCs w:val="24"/>
        </w:rPr>
        <w:t>万元（人民币）</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sz w:val="24"/>
          <w:szCs w:val="24"/>
        </w:rPr>
      </w:pPr>
    </w:p>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5NTBmNDljNjg5NTYzNDhhYjQ1YzRhMmJjYTZiYTYifQ=="/>
  </w:docVars>
  <w:rsids>
    <w:rsidRoot w:val="0D414D1F"/>
    <w:rsid w:val="021E07F8"/>
    <w:rsid w:val="0C435E6C"/>
    <w:rsid w:val="0C611A88"/>
    <w:rsid w:val="0C6A13C7"/>
    <w:rsid w:val="0CDF3B34"/>
    <w:rsid w:val="0D414D1F"/>
    <w:rsid w:val="184A7C39"/>
    <w:rsid w:val="1A975C34"/>
    <w:rsid w:val="22627F65"/>
    <w:rsid w:val="334678A8"/>
    <w:rsid w:val="343478AF"/>
    <w:rsid w:val="36536B8B"/>
    <w:rsid w:val="3B1A73ED"/>
    <w:rsid w:val="3E423C03"/>
    <w:rsid w:val="49100A25"/>
    <w:rsid w:val="50B65CA5"/>
    <w:rsid w:val="5A5711D7"/>
    <w:rsid w:val="5B372BFB"/>
    <w:rsid w:val="63403C5B"/>
    <w:rsid w:val="65032222"/>
    <w:rsid w:val="662F16BA"/>
    <w:rsid w:val="723648E6"/>
    <w:rsid w:val="731F5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正文缩进1"/>
    <w:basedOn w:val="1"/>
    <w:autoRedefine/>
    <w:qFormat/>
    <w:uiPriority w:val="0"/>
    <w:pPr>
      <w:widowControl/>
      <w:ind w:firstLine="420"/>
      <w:jc w:val="left"/>
    </w:pPr>
    <w:rPr>
      <w:kern w:val="0"/>
    </w:rPr>
  </w:style>
  <w:style w:type="paragraph" w:styleId="4">
    <w:name w:val="Body Text"/>
    <w:basedOn w:val="1"/>
    <w:next w:val="1"/>
    <w:autoRedefine/>
    <w:qFormat/>
    <w:uiPriority w:val="0"/>
    <w:pPr>
      <w:spacing w:after="120"/>
    </w:pPr>
  </w:style>
  <w:style w:type="paragraph" w:styleId="5">
    <w:name w:val="Plain Text"/>
    <w:basedOn w:val="1"/>
    <w:autoRedefine/>
    <w:qFormat/>
    <w:uiPriority w:val="0"/>
    <w:rPr>
      <w:rFonts w:ascii="宋体" w:hAnsi="Courier New"/>
      <w:kern w:val="0"/>
      <w:sz w:val="20"/>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autoRedefine/>
    <w:qFormat/>
    <w:uiPriority w:val="0"/>
    <w:rPr>
      <w:color w:val="0000FF"/>
      <w:u w:val="single"/>
    </w:rPr>
  </w:style>
  <w:style w:type="paragraph" w:customStyle="1" w:styleId="10">
    <w:name w:val="UserStyle_21"/>
    <w:autoRedefine/>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customStyle="1" w:styleId="11">
    <w:name w:val="NormalCharacter"/>
    <w:link w:val="1"/>
    <w:autoRedefine/>
    <w:semiHidden/>
    <w:qFormat/>
    <w:uiPriority w:val="0"/>
    <w:rPr>
      <w:rFonts w:asciiTheme="minorHAnsi" w:hAnsiTheme="minorHAnsi" w:eastAsiaTheme="minorEastAsia" w:cstheme="minorBidi"/>
      <w:kern w:val="2"/>
      <w:sz w:val="21"/>
      <w:szCs w:val="24"/>
      <w:lang w:val="en-US" w:eastAsia="zh-CN" w:bidi="ar-SA"/>
    </w:rPr>
  </w:style>
  <w:style w:type="paragraph" w:customStyle="1" w:styleId="12">
    <w:name w:val="PlainText"/>
    <w:basedOn w:val="1"/>
    <w:autoRedefine/>
    <w:qFormat/>
    <w:uiPriority w:val="0"/>
    <w:pPr>
      <w:jc w:val="both"/>
      <w:textAlignment w:val="baseline"/>
    </w:pPr>
    <w:rPr>
      <w:rFonts w:ascii="宋体" w:hAnsi="Courier New"/>
      <w:kern w:val="0"/>
      <w:sz w:val="20"/>
      <w:szCs w:val="24"/>
      <w:lang w:val="en-US" w:eastAsia="zh-CN" w:bidi="ar-SA"/>
    </w:rPr>
  </w:style>
  <w:style w:type="paragraph" w:customStyle="1" w:styleId="13">
    <w:name w:val="正文_58"/>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BodyText1I2"/>
    <w:basedOn w:val="15"/>
    <w:autoRedefine/>
    <w:qFormat/>
    <w:uiPriority w:val="0"/>
    <w:pPr>
      <w:tabs>
        <w:tab w:val="left" w:pos="4606"/>
      </w:tabs>
      <w:ind w:firstLine="420"/>
    </w:pPr>
  </w:style>
  <w:style w:type="paragraph" w:customStyle="1" w:styleId="15">
    <w:name w:val="BodyTextIndent"/>
    <w:basedOn w:val="1"/>
    <w:next w:val="16"/>
    <w:autoRedefine/>
    <w:qFormat/>
    <w:uiPriority w:val="0"/>
    <w:pPr>
      <w:spacing w:after="120"/>
      <w:ind w:left="420" w:leftChars="200"/>
    </w:pPr>
  </w:style>
  <w:style w:type="paragraph" w:customStyle="1" w:styleId="16">
    <w:name w:val="NormalIndent"/>
    <w:basedOn w:val="1"/>
    <w:next w:val="15"/>
    <w:autoRedefine/>
    <w:qFormat/>
    <w:uiPriority w:val="0"/>
    <w:pPr>
      <w:ind w:firstLine="420"/>
    </w:pPr>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2021-12-21T02:52:00Z</dcterms:created>
  <dc:creator>暮色</dc:creator>
  <cp:lastModifiedBy>呆</cp:lastModifiedBy>
  <dcterms:modified xsi:type="dcterms:W3CDTF">2024-02-20T03:37:11Z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EE66795BBC284D5E88D82963C6851644</vt:lpwstr>
  </property>
</Properties>
</file>