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wordWrap/>
        <w:spacing w:line="240" w:lineRule="auto"/>
        <w:ind w:left="0" w:firstLine="0"/>
        <w:jc w:val="left"/>
        <w:rPr>
          <w:rFonts w:ascii="Verdana" w:hAnsi="Verdana" w:cs="Verdana"/>
          <w:b w:val="0"/>
          <w:i w:val="0"/>
          <w:caps w:val="0"/>
          <w:color w:val="4E4E4E"/>
          <w:spacing w:val="0"/>
          <w:sz w:val="18"/>
          <w:szCs w:val="18"/>
        </w:rPr>
      </w:pPr>
      <w:r>
        <w:rPr>
          <w:rFonts w:hint="default" w:ascii="Verdana" w:hAnsi="Verdana" w:eastAsia="宋体" w:cs="Verdana"/>
          <w:b w:val="0"/>
          <w:i w:val="0"/>
          <w:caps w:val="0"/>
          <w:color w:val="4E4E4E"/>
          <w:spacing w:val="0"/>
          <w:kern w:val="0"/>
          <w:sz w:val="18"/>
          <w:szCs w:val="18"/>
          <w:lang w:val="en-US" w:eastAsia="zh-CN" w:bidi="ar"/>
        </w:rPr>
        <w:t> </w:t>
      </w:r>
      <w:bookmarkStart w:id="56" w:name="_GoBack"/>
      <w:bookmarkEnd w:id="56"/>
    </w:p>
    <w:p>
      <w:pPr>
        <w:pStyle w:val="2"/>
        <w:keepNext w:val="0"/>
        <w:keepLines w:val="0"/>
        <w:widowControl/>
        <w:suppressLineNumbers w:val="0"/>
        <w:wordWrap/>
        <w:spacing w:line="240" w:lineRule="auto"/>
        <w:jc w:val="center"/>
        <w:rPr>
          <w:rFonts w:ascii="黑体" w:eastAsia="黑体" w:cs="黑体"/>
          <w:b w:val="0"/>
          <w:sz w:val="30"/>
          <w:szCs w:val="30"/>
        </w:rPr>
      </w:pPr>
      <w:r>
        <w:rPr>
          <w:rFonts w:hint="eastAsia" w:ascii="黑体" w:eastAsia="黑体" w:cs="黑体"/>
          <w:b w:val="0"/>
          <w:i w:val="0"/>
          <w:caps w:val="0"/>
          <w:color w:val="4E4E4E"/>
          <w:spacing w:val="0"/>
          <w:sz w:val="30"/>
          <w:szCs w:val="30"/>
        </w:rPr>
        <w:t>教育部等六部门关于印发《现代职业教育体系建设规划（2014-2020年）》的通知</w:t>
      </w:r>
    </w:p>
    <w:p>
      <w:pPr>
        <w:keepNext w:val="0"/>
        <w:keepLines w:val="0"/>
        <w:widowControl/>
        <w:suppressLineNumbers w:val="0"/>
        <w:wordWrap/>
        <w:spacing w:line="450" w:lineRule="atLeast"/>
        <w:ind w:left="0" w:firstLine="0"/>
        <w:jc w:val="center"/>
        <w:rPr>
          <w:rFonts w:hint="default" w:ascii="Verdana" w:hAnsi="Verdana" w:cs="Verdana"/>
          <w:b w:val="0"/>
          <w:i w:val="0"/>
          <w:caps w:val="0"/>
          <w:color w:val="000000"/>
          <w:spacing w:val="0"/>
          <w:sz w:val="21"/>
          <w:szCs w:val="21"/>
        </w:rPr>
      </w:pPr>
      <w:r>
        <w:rPr>
          <w:rFonts w:hint="default" w:ascii="Verdana" w:hAnsi="Verdana" w:eastAsia="宋体" w:cs="Verdana"/>
          <w:b w:val="0"/>
          <w:i w:val="0"/>
          <w:caps w:val="0"/>
          <w:color w:val="000000"/>
          <w:spacing w:val="0"/>
          <w:kern w:val="0"/>
          <w:sz w:val="21"/>
          <w:szCs w:val="21"/>
          <w:lang w:val="en-US" w:eastAsia="zh-CN" w:bidi="ar"/>
        </w:rPr>
        <w:t>教发〔2014〕6号</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ind w:left="0" w:firstLine="0"/>
        <w:jc w:val="left"/>
        <w:rPr>
          <w:rFonts w:ascii="Verdana" w:hAnsi="Verdana" w:cs="Verdana"/>
          <w:b w:val="0"/>
          <w:i w:val="0"/>
          <w:caps w:val="0"/>
          <w:color w:val="4E4E4E"/>
          <w:spacing w:val="0"/>
          <w:sz w:val="21"/>
          <w:szCs w:val="21"/>
        </w:rPr>
      </w:pPr>
      <w:r>
        <w:rPr>
          <w:rFonts w:hint="default" w:ascii="Verdana" w:hAnsi="Verdana" w:eastAsia="宋体" w:cs="Verdana"/>
          <w:b w:val="0"/>
          <w:i w:val="0"/>
          <w:caps w:val="0"/>
          <w:color w:val="4E4E4E"/>
          <w:spacing w:val="0"/>
          <w:kern w:val="0"/>
          <w:sz w:val="21"/>
          <w:szCs w:val="21"/>
          <w:bdr w:val="none" w:color="auto" w:sz="0" w:space="0"/>
          <w:lang w:val="en-US" w:eastAsia="zh-CN" w:bidi="ar"/>
        </w:rPr>
        <w:t>各省、自治区、直辖市教育厅（教委）、发展改革委、财政厅(局)、人力资源社会保障厅(局)、农业(农牧、农村经济)厅(委、局)、扶贫办（局），新疆生产建设兵团教育局、发展改革委、财务局、人力资源社会保障局、农业局，有关部门（单位）教育司（局）：</w:t>
      </w:r>
      <w:r>
        <w:rPr>
          <w:rFonts w:hint="default" w:ascii="Verdana" w:hAnsi="Verdana" w:eastAsia="宋体" w:cs="Verdana"/>
          <w:b w:val="0"/>
          <w:i w:val="0"/>
          <w:caps w:val="0"/>
          <w:color w:val="4E4E4E"/>
          <w:spacing w:val="0"/>
          <w:kern w:val="0"/>
          <w:sz w:val="21"/>
          <w:szCs w:val="21"/>
          <w:bdr w:val="none" w:color="auto" w:sz="0" w:space="0"/>
          <w:lang w:val="en-US" w:eastAsia="zh-CN" w:bidi="ar"/>
        </w:rPr>
        <w:br w:type="textWrapping"/>
      </w:r>
      <w:r>
        <w:rPr>
          <w:rFonts w:hint="default" w:ascii="Verdana" w:hAnsi="Verdana" w:eastAsia="宋体" w:cs="Verdana"/>
          <w:b w:val="0"/>
          <w:i w:val="0"/>
          <w:caps w:val="0"/>
          <w:color w:val="4E4E4E"/>
          <w:spacing w:val="0"/>
          <w:kern w:val="0"/>
          <w:sz w:val="21"/>
          <w:szCs w:val="21"/>
          <w:bdr w:val="none" w:color="auto" w:sz="0" w:space="0"/>
          <w:lang w:val="en-US" w:eastAsia="zh-CN" w:bidi="ar"/>
        </w:rPr>
        <w:t>      为贯彻落实党的十八大和十八届三中全会精神，贯彻落实《国家中长期教育改革和发展规划纲要（2010-2020年）》《国务院关于加快发展现代职业教育的决定》，加快发展现代职业教育，建设现代职业教育体系，服务实现全面建成小康社会目标，教育部、国家发展改革委、财政部、人力资源社会保障部、农业部、国务院扶贫办组织编制了《现代职业教育体系建设规划（2014-2020年）》。现印发给你们，请结合本地区、本部门的实际情况，认真组织实施。</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ind w:left="0" w:firstLine="0"/>
        <w:jc w:val="right"/>
        <w:rPr>
          <w:rFonts w:hint="default" w:ascii="Verdana" w:hAnsi="Verdana" w:cs="Verdana"/>
          <w:b w:val="0"/>
          <w:i w:val="0"/>
          <w:caps w:val="0"/>
          <w:color w:val="4E4E4E"/>
          <w:spacing w:val="0"/>
          <w:sz w:val="21"/>
          <w:szCs w:val="21"/>
        </w:rPr>
      </w:pPr>
      <w:r>
        <w:rPr>
          <w:rFonts w:hint="default" w:ascii="Verdana" w:hAnsi="Verdana" w:eastAsia="宋体" w:cs="Verdana"/>
          <w:b/>
          <w:i w:val="0"/>
          <w:caps w:val="0"/>
          <w:color w:val="4E4E4E"/>
          <w:spacing w:val="0"/>
          <w:kern w:val="0"/>
          <w:sz w:val="21"/>
          <w:szCs w:val="21"/>
          <w:bdr w:val="none" w:color="auto" w:sz="0" w:space="0"/>
          <w:lang w:val="en-US" w:eastAsia="zh-CN" w:bidi="ar"/>
        </w:rPr>
        <w:t>　</w:t>
      </w:r>
      <w:r>
        <w:rPr>
          <w:rFonts w:hint="default" w:ascii="Verdana" w:hAnsi="Verdana" w:eastAsia="宋体" w:cs="Verdana"/>
          <w:b w:val="0"/>
          <w:i w:val="0"/>
          <w:caps w:val="0"/>
          <w:color w:val="4E4E4E"/>
          <w:spacing w:val="0"/>
          <w:kern w:val="0"/>
          <w:sz w:val="21"/>
          <w:szCs w:val="21"/>
          <w:bdr w:val="none" w:color="auto" w:sz="0" w:space="0"/>
          <w:lang w:val="en-US" w:eastAsia="zh-CN" w:bidi="ar"/>
        </w:rPr>
        <w:t>                                         </w:t>
      </w:r>
      <w:r>
        <w:rPr>
          <w:rFonts w:hint="default" w:ascii="Verdana" w:hAnsi="Verdana" w:eastAsia="宋体" w:cs="Verdana"/>
          <w:b w:val="0"/>
          <w:i w:val="0"/>
          <w:caps w:val="0"/>
          <w:color w:val="4E4E4E"/>
          <w:spacing w:val="0"/>
          <w:kern w:val="0"/>
          <w:sz w:val="21"/>
          <w:szCs w:val="21"/>
          <w:bdr w:val="none" w:color="auto" w:sz="0" w:space="0"/>
          <w:lang w:val="en-US" w:eastAsia="zh-CN" w:bidi="ar"/>
        </w:rPr>
        <w:br w:type="textWrapping"/>
      </w:r>
      <w:r>
        <w:rPr>
          <w:rFonts w:hint="default" w:ascii="Verdana" w:hAnsi="Verdana" w:eastAsia="宋体" w:cs="Verdana"/>
          <w:b w:val="0"/>
          <w:i w:val="0"/>
          <w:caps w:val="0"/>
          <w:color w:val="4E4E4E"/>
          <w:spacing w:val="0"/>
          <w:kern w:val="0"/>
          <w:sz w:val="21"/>
          <w:szCs w:val="21"/>
          <w:bdr w:val="none" w:color="auto" w:sz="0" w:space="0"/>
          <w:lang w:val="en-US" w:eastAsia="zh-CN" w:bidi="ar"/>
        </w:rPr>
        <w:t>教育部</w:t>
      </w:r>
      <w:r>
        <w:rPr>
          <w:rFonts w:hint="default" w:ascii="Verdana" w:hAnsi="Verdana" w:eastAsia="宋体" w:cs="Verdana"/>
          <w:b w:val="0"/>
          <w:i w:val="0"/>
          <w:caps w:val="0"/>
          <w:color w:val="4E4E4E"/>
          <w:spacing w:val="0"/>
          <w:kern w:val="0"/>
          <w:sz w:val="21"/>
          <w:szCs w:val="21"/>
          <w:bdr w:val="none" w:color="auto" w:sz="0" w:space="0"/>
          <w:lang w:val="en-US" w:eastAsia="zh-CN" w:bidi="ar"/>
        </w:rPr>
        <w:br w:type="textWrapping"/>
      </w:r>
      <w:r>
        <w:rPr>
          <w:rFonts w:hint="default" w:ascii="Verdana" w:hAnsi="Verdana" w:eastAsia="宋体" w:cs="Verdana"/>
          <w:b w:val="0"/>
          <w:i w:val="0"/>
          <w:caps w:val="0"/>
          <w:color w:val="4E4E4E"/>
          <w:spacing w:val="0"/>
          <w:kern w:val="0"/>
          <w:sz w:val="21"/>
          <w:szCs w:val="21"/>
          <w:bdr w:val="none" w:color="auto" w:sz="0" w:space="0"/>
          <w:lang w:val="en-US" w:eastAsia="zh-CN" w:bidi="ar"/>
        </w:rPr>
        <w:t>国家发展改革委</w:t>
      </w:r>
      <w:r>
        <w:rPr>
          <w:rFonts w:hint="default" w:ascii="Verdana" w:hAnsi="Verdana" w:eastAsia="宋体" w:cs="Verdana"/>
          <w:b w:val="0"/>
          <w:i w:val="0"/>
          <w:caps w:val="0"/>
          <w:color w:val="4E4E4E"/>
          <w:spacing w:val="0"/>
          <w:kern w:val="0"/>
          <w:sz w:val="21"/>
          <w:szCs w:val="21"/>
          <w:bdr w:val="none" w:color="auto" w:sz="0" w:space="0"/>
          <w:lang w:val="en-US" w:eastAsia="zh-CN" w:bidi="ar"/>
        </w:rPr>
        <w:br w:type="textWrapping"/>
      </w:r>
      <w:r>
        <w:rPr>
          <w:rFonts w:hint="default" w:ascii="Verdana" w:hAnsi="Verdana" w:eastAsia="宋体" w:cs="Verdana"/>
          <w:b w:val="0"/>
          <w:i w:val="0"/>
          <w:caps w:val="0"/>
          <w:color w:val="4E4E4E"/>
          <w:spacing w:val="0"/>
          <w:kern w:val="0"/>
          <w:sz w:val="21"/>
          <w:szCs w:val="21"/>
          <w:bdr w:val="none" w:color="auto" w:sz="0" w:space="0"/>
          <w:lang w:val="en-US" w:eastAsia="zh-CN" w:bidi="ar"/>
        </w:rPr>
        <w:t>财政部</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ind w:left="0" w:firstLine="0"/>
        <w:jc w:val="righ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4E4E4E"/>
          <w:spacing w:val="0"/>
          <w:kern w:val="0"/>
          <w:sz w:val="21"/>
          <w:szCs w:val="21"/>
          <w:bdr w:val="none" w:color="auto" w:sz="0" w:space="0"/>
          <w:lang w:val="en-US" w:eastAsia="zh-CN" w:bidi="ar"/>
        </w:rPr>
        <w:t>                                      人力资源社会保障部</w:t>
      </w:r>
      <w:r>
        <w:rPr>
          <w:rFonts w:hint="default" w:ascii="Verdana" w:hAnsi="Verdana" w:eastAsia="宋体" w:cs="Verdana"/>
          <w:b w:val="0"/>
          <w:i w:val="0"/>
          <w:caps w:val="0"/>
          <w:color w:val="4E4E4E"/>
          <w:spacing w:val="0"/>
          <w:kern w:val="0"/>
          <w:sz w:val="21"/>
          <w:szCs w:val="21"/>
          <w:bdr w:val="none" w:color="auto" w:sz="0" w:space="0"/>
          <w:lang w:val="en-US" w:eastAsia="zh-CN" w:bidi="ar"/>
        </w:rPr>
        <w:br w:type="textWrapping"/>
      </w:r>
      <w:r>
        <w:rPr>
          <w:rFonts w:hint="default" w:ascii="Verdana" w:hAnsi="Verdana" w:eastAsia="宋体" w:cs="Verdana"/>
          <w:b w:val="0"/>
          <w:i w:val="0"/>
          <w:caps w:val="0"/>
          <w:color w:val="4E4E4E"/>
          <w:spacing w:val="0"/>
          <w:kern w:val="0"/>
          <w:sz w:val="21"/>
          <w:szCs w:val="21"/>
          <w:bdr w:val="none" w:color="auto" w:sz="0" w:space="0"/>
          <w:lang w:val="en-US" w:eastAsia="zh-CN" w:bidi="ar"/>
        </w:rPr>
        <w:t>农业部</w:t>
      </w:r>
      <w:r>
        <w:rPr>
          <w:rFonts w:hint="default" w:ascii="Verdana" w:hAnsi="Verdana" w:eastAsia="宋体" w:cs="Verdana"/>
          <w:b w:val="0"/>
          <w:i w:val="0"/>
          <w:caps w:val="0"/>
          <w:color w:val="4E4E4E"/>
          <w:spacing w:val="0"/>
          <w:kern w:val="0"/>
          <w:sz w:val="21"/>
          <w:szCs w:val="21"/>
          <w:bdr w:val="none" w:color="auto" w:sz="0" w:space="0"/>
          <w:lang w:val="en-US" w:eastAsia="zh-CN" w:bidi="ar"/>
        </w:rPr>
        <w:br w:type="textWrapping"/>
      </w:r>
      <w:r>
        <w:rPr>
          <w:rFonts w:hint="default" w:ascii="Verdana" w:hAnsi="Verdana" w:eastAsia="宋体" w:cs="Verdana"/>
          <w:b w:val="0"/>
          <w:i w:val="0"/>
          <w:caps w:val="0"/>
          <w:color w:val="4E4E4E"/>
          <w:spacing w:val="0"/>
          <w:kern w:val="0"/>
          <w:sz w:val="21"/>
          <w:szCs w:val="21"/>
          <w:bdr w:val="none" w:color="auto" w:sz="0" w:space="0"/>
          <w:lang w:val="en-US" w:eastAsia="zh-CN" w:bidi="ar"/>
        </w:rPr>
        <w:t>国务院扶贫办</w:t>
      </w:r>
      <w:r>
        <w:rPr>
          <w:rFonts w:hint="default" w:ascii="Verdana" w:hAnsi="Verdana" w:eastAsia="宋体" w:cs="Verdana"/>
          <w:b w:val="0"/>
          <w:i w:val="0"/>
          <w:caps w:val="0"/>
          <w:color w:val="4E4E4E"/>
          <w:spacing w:val="0"/>
          <w:kern w:val="0"/>
          <w:sz w:val="21"/>
          <w:szCs w:val="21"/>
          <w:bdr w:val="none" w:color="auto" w:sz="0" w:space="0"/>
          <w:lang w:val="en-US" w:eastAsia="zh-CN" w:bidi="ar"/>
        </w:rPr>
        <w:br w:type="textWrapping"/>
      </w:r>
      <w:r>
        <w:rPr>
          <w:rFonts w:hint="default" w:ascii="Verdana" w:hAnsi="Verdana" w:eastAsia="宋体" w:cs="Verdana"/>
          <w:b w:val="0"/>
          <w:i w:val="0"/>
          <w:caps w:val="0"/>
          <w:color w:val="4E4E4E"/>
          <w:spacing w:val="0"/>
          <w:kern w:val="0"/>
          <w:sz w:val="21"/>
          <w:szCs w:val="21"/>
          <w:bdr w:val="none" w:color="auto" w:sz="0" w:space="0"/>
          <w:lang w:val="en-US" w:eastAsia="zh-CN" w:bidi="ar"/>
        </w:rPr>
        <w:t>2014年6月16日</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kern w:val="2"/>
          <w:sz w:val="52"/>
          <w:szCs w:val="52"/>
          <w:lang w:val="en-US" w:eastAsia="zh-CN" w:bidi="ar"/>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kern w:val="2"/>
          <w:sz w:val="52"/>
          <w:szCs w:val="52"/>
          <w:lang w:val="en-US" w:eastAsia="zh-CN" w:bidi="ar"/>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kern w:val="2"/>
          <w:sz w:val="52"/>
          <w:szCs w:val="52"/>
          <w:lang w:val="en-US" w:eastAsia="zh-CN" w:bidi="ar"/>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kern w:val="2"/>
          <w:sz w:val="52"/>
          <w:szCs w:val="52"/>
          <w:lang w:val="en-US" w:eastAsia="zh-CN" w:bidi="ar"/>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kern w:val="2"/>
          <w:sz w:val="52"/>
          <w:szCs w:val="52"/>
          <w:lang w:val="en-US" w:eastAsia="zh-CN" w:bidi="ar"/>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kern w:val="2"/>
          <w:sz w:val="52"/>
          <w:szCs w:val="52"/>
          <w:lang w:val="en-US" w:eastAsia="zh-CN" w:bidi="ar"/>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kern w:val="2"/>
          <w:sz w:val="52"/>
          <w:szCs w:val="52"/>
          <w:lang w:val="en-US" w:eastAsia="zh-CN" w:bidi="ar"/>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kern w:val="2"/>
          <w:sz w:val="52"/>
          <w:szCs w:val="52"/>
        </w:rPr>
      </w:pPr>
      <w:r>
        <w:rPr>
          <w:rFonts w:hint="default" w:ascii="Times New Roman" w:hAnsi="Times New Roman" w:eastAsia="方正小标宋_GBK" w:cs="Times New Roman"/>
          <w:kern w:val="2"/>
          <w:sz w:val="52"/>
          <w:szCs w:val="52"/>
          <w:lang w:val="en-US" w:eastAsia="zh-CN" w:bidi="ar"/>
        </w:rPr>
        <w:t>现代职业教育体系建设规划</w:t>
      </w: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52"/>
          <w:szCs w:val="52"/>
        </w:rPr>
      </w:pPr>
      <w:r>
        <w:rPr>
          <w:rFonts w:hint="default" w:ascii="Times New Roman" w:hAnsi="宋体" w:eastAsia="黑体" w:cs="Times New Roman"/>
          <w:kern w:val="2"/>
          <w:sz w:val="52"/>
          <w:szCs w:val="52"/>
          <w:lang w:val="en-US" w:eastAsia="zh-CN" w:bidi="ar"/>
        </w:rPr>
        <w:t>（</w:t>
      </w:r>
      <w:r>
        <w:rPr>
          <w:rFonts w:hint="default" w:ascii="Times New Roman" w:hAnsi="Times New Roman" w:eastAsia="黑体" w:cs="Times New Roman"/>
          <w:kern w:val="2"/>
          <w:sz w:val="52"/>
          <w:szCs w:val="52"/>
          <w:lang w:val="en-US" w:eastAsia="zh-CN" w:bidi="ar"/>
        </w:rPr>
        <w:t>2014-2020</w:t>
      </w:r>
      <w:r>
        <w:rPr>
          <w:rFonts w:hint="default" w:ascii="Times New Roman" w:hAnsi="宋体" w:eastAsia="黑体" w:cs="Times New Roman"/>
          <w:kern w:val="2"/>
          <w:sz w:val="52"/>
          <w:szCs w:val="52"/>
          <w:lang w:val="en-US" w:eastAsia="zh-CN" w:bidi="ar"/>
        </w:rPr>
        <w:t>年）</w:t>
      </w:r>
      <w:r>
        <w:rPr>
          <w:rFonts w:hint="default" w:ascii="Times New Roman" w:hAnsi="Times New Roman" w:eastAsia="黑体" w:cs="Times New Roman"/>
          <w:kern w:val="2"/>
          <w:sz w:val="52"/>
          <w:szCs w:val="52"/>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Times New Roman" w:hAnsi="Times New Roman" w:eastAsia="华文楷体" w:cs="Times New Roman"/>
          <w:kern w:val="2"/>
          <w:sz w:val="32"/>
          <w:szCs w:val="32"/>
        </w:rPr>
      </w:pPr>
      <w:r>
        <w:rPr>
          <w:rFonts w:hint="default" w:ascii="Times New Roman" w:hAnsi="Times New Roman" w:eastAsia="华文楷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Times New Roman" w:hAnsi="Times New Roman" w:eastAsia="华文楷体" w:cs="Times New Roman"/>
          <w:kern w:val="2"/>
          <w:sz w:val="32"/>
          <w:szCs w:val="32"/>
        </w:rPr>
      </w:pPr>
      <w:r>
        <w:rPr>
          <w:rFonts w:hint="default" w:ascii="Times New Roman" w:hAnsi="Times New Roman" w:eastAsia="华文楷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Times New Roman" w:hAnsi="Times New Roman" w:eastAsia="华文楷体" w:cs="Times New Roman"/>
          <w:kern w:val="2"/>
          <w:sz w:val="32"/>
          <w:szCs w:val="32"/>
        </w:rPr>
      </w:pPr>
      <w:r>
        <w:rPr>
          <w:rFonts w:hint="default" w:ascii="Times New Roman" w:hAnsi="Times New Roman" w:eastAsia="华文楷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Times New Roman" w:hAnsi="Times New Roman" w:eastAsia="华文楷体" w:cs="Times New Roman"/>
          <w:kern w:val="2"/>
          <w:sz w:val="32"/>
          <w:szCs w:val="32"/>
        </w:rPr>
      </w:pPr>
      <w:r>
        <w:rPr>
          <w:rFonts w:hint="default" w:ascii="Times New Roman" w:hAnsi="Times New Roman" w:eastAsia="华文楷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36"/>
          <w:szCs w:val="36"/>
        </w:rPr>
      </w:pPr>
      <w:r>
        <w:rPr>
          <w:rFonts w:hint="default" w:ascii="Times New Roman" w:hAnsi="Times New Roman" w:eastAsia="仿宋_GB2312" w:cs="Times New Roman"/>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华文楷体" w:hAnsi="华文楷体" w:eastAsia="华文楷体" w:cs="华文楷体"/>
          <w:kern w:val="2"/>
          <w:sz w:val="32"/>
          <w:szCs w:val="32"/>
        </w:rPr>
      </w:pPr>
      <w:r>
        <w:rPr>
          <w:rFonts w:hint="eastAsia" w:ascii="华文楷体" w:hAnsi="华文楷体" w:eastAsia="华文楷体" w:cs="华文楷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华文楷体" w:hAnsi="华文楷体" w:eastAsia="华文楷体" w:cs="华文楷体"/>
          <w:kern w:val="2"/>
          <w:sz w:val="32"/>
          <w:szCs w:val="32"/>
        </w:rPr>
      </w:pPr>
      <w:r>
        <w:rPr>
          <w:rFonts w:hint="eastAsia" w:ascii="华文楷体" w:hAnsi="华文楷体" w:eastAsia="华文楷体" w:cs="华文楷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华文楷体" w:hAnsi="华文楷体" w:eastAsia="华文楷体" w:cs="华文楷体"/>
          <w:kern w:val="2"/>
          <w:sz w:val="32"/>
          <w:szCs w:val="32"/>
        </w:rPr>
      </w:pPr>
      <w:r>
        <w:rPr>
          <w:rFonts w:hint="eastAsia" w:ascii="华文楷体" w:hAnsi="华文楷体" w:eastAsia="华文楷体" w:cs="华文楷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华文楷体" w:hAnsi="华文楷体" w:eastAsia="华文楷体" w:cs="华文楷体"/>
          <w:kern w:val="2"/>
          <w:sz w:val="32"/>
          <w:szCs w:val="32"/>
        </w:rPr>
      </w:pPr>
      <w:r>
        <w:rPr>
          <w:rFonts w:hint="eastAsia" w:ascii="华文楷体" w:hAnsi="华文楷体" w:eastAsia="华文楷体" w:cs="华文楷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华文楷体" w:hAnsi="华文楷体" w:eastAsia="华文楷体" w:cs="华文楷体"/>
          <w:kern w:val="2"/>
          <w:sz w:val="32"/>
          <w:szCs w:val="32"/>
        </w:rPr>
      </w:pPr>
      <w:r>
        <w:rPr>
          <w:rFonts w:hint="eastAsia" w:ascii="华文楷体" w:hAnsi="华文楷体" w:eastAsia="华文楷体" w:cs="华文楷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华文楷体" w:hAnsi="华文楷体" w:eastAsia="华文楷体" w:cs="华文楷体"/>
          <w:kern w:val="2"/>
          <w:sz w:val="32"/>
          <w:szCs w:val="32"/>
        </w:rPr>
      </w:pPr>
      <w:r>
        <w:rPr>
          <w:rFonts w:hint="eastAsia" w:ascii="华文楷体" w:hAnsi="华文楷体" w:eastAsia="华文楷体" w:cs="华文楷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华文楷体" w:hAnsi="华文楷体" w:eastAsia="华文楷体" w:cs="华文楷体"/>
          <w:kern w:val="2"/>
          <w:sz w:val="32"/>
          <w:szCs w:val="32"/>
        </w:rPr>
      </w:pPr>
      <w:r>
        <w:rPr>
          <w:rFonts w:hint="eastAsia" w:ascii="华文楷体" w:hAnsi="华文楷体" w:eastAsia="华文楷体" w:cs="华文楷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36"/>
          <w:szCs w:val="36"/>
        </w:rPr>
      </w:pPr>
      <w:r>
        <w:rPr>
          <w:rFonts w:hint="default" w:ascii="Times New Roman" w:hAnsi="Times New Roman" w:eastAsia="楷体_GB2312" w:cs="Times New Roman"/>
          <w:kern w:val="2"/>
          <w:sz w:val="36"/>
          <w:szCs w:val="36"/>
          <w:lang w:val="en-US" w:eastAsia="zh-CN" w:bidi="ar"/>
        </w:rPr>
        <w:t>2014</w:t>
      </w:r>
      <w:r>
        <w:rPr>
          <w:rFonts w:hint="eastAsia" w:ascii="楷体_GB2312" w:hAnsi="Times New Roman" w:eastAsia="楷体_GB2312" w:cs="楷体_GB2312"/>
          <w:kern w:val="2"/>
          <w:sz w:val="36"/>
          <w:szCs w:val="36"/>
          <w:lang w:val="en-US" w:eastAsia="zh-CN" w:bidi="ar"/>
        </w:rPr>
        <w:t>年</w:t>
      </w:r>
      <w:r>
        <w:rPr>
          <w:rFonts w:hint="default" w:ascii="Times New Roman" w:hAnsi="Times New Roman" w:eastAsia="楷体_GB2312" w:cs="Times New Roman"/>
          <w:kern w:val="2"/>
          <w:sz w:val="36"/>
          <w:szCs w:val="36"/>
          <w:lang w:val="en-US" w:eastAsia="zh-CN" w:bidi="ar"/>
        </w:rPr>
        <w:t>6</w:t>
      </w:r>
      <w:r>
        <w:rPr>
          <w:rFonts w:hint="eastAsia" w:ascii="楷体_GB2312" w:hAnsi="Times New Roman" w:eastAsia="楷体_GB2312" w:cs="楷体_GB2312"/>
          <w:kern w:val="2"/>
          <w:sz w:val="36"/>
          <w:szCs w:val="36"/>
          <w:lang w:val="en-US" w:eastAsia="zh-CN" w:bidi="ar"/>
        </w:rPr>
        <w:t>月</w:t>
      </w:r>
    </w:p>
    <w:p>
      <w:pPr>
        <w:rPr>
          <w:rFonts w:hint="default" w:ascii="Times New Roman" w:hAnsi="宋体" w:eastAsia="黑体" w:cs="Times New Roman"/>
          <w:kern w:val="2"/>
          <w:sz w:val="36"/>
          <w:szCs w:val="36"/>
        </w:rPr>
        <w:sectPr>
          <w:pgSz w:w="11906" w:h="16838"/>
          <w:pgMar w:top="1440" w:right="1800" w:bottom="1440" w:left="1800" w:header="851" w:footer="992" w:gutter="0"/>
          <w:cols w:space="425" w:num="1"/>
          <w:docGrid w:type="lines" w:linePitch="312" w:charSpace="0"/>
        </w:sectPr>
      </w:pP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36"/>
          <w:szCs w:val="36"/>
        </w:rPr>
      </w:pPr>
      <w:r>
        <w:rPr>
          <w:rFonts w:hint="default" w:ascii="Times New Roman" w:hAnsi="宋体" w:eastAsia="黑体" w:cs="Times New Roman"/>
          <w:kern w:val="2"/>
          <w:sz w:val="36"/>
          <w:szCs w:val="36"/>
          <w:lang w:val="en-US" w:eastAsia="zh-CN" w:bidi="ar"/>
        </w:rPr>
        <w:t>目</w:t>
      </w:r>
      <w:r>
        <w:rPr>
          <w:rFonts w:hint="default" w:ascii="Times New Roman" w:hAnsi="Times New Roman" w:eastAsia="黑体" w:cs="Times New Roman"/>
          <w:kern w:val="2"/>
          <w:sz w:val="36"/>
          <w:szCs w:val="36"/>
          <w:lang w:val="en-US" w:eastAsia="zh-CN" w:bidi="ar"/>
        </w:rPr>
        <w:t xml:space="preserve"> </w:t>
      </w:r>
      <w:r>
        <w:rPr>
          <w:rFonts w:hint="eastAsia" w:ascii="黑体" w:hAnsi="Times New Roman" w:eastAsia="黑体" w:cs="黑体"/>
          <w:kern w:val="2"/>
          <w:sz w:val="36"/>
          <w:szCs w:val="36"/>
          <w:lang w:val="en-US" w:eastAsia="zh-CN" w:bidi="ar"/>
        </w:rPr>
        <w:t xml:space="preserve">    </w:t>
      </w:r>
      <w:r>
        <w:rPr>
          <w:rFonts w:hint="default" w:ascii="Times New Roman" w:hAnsi="宋体" w:eastAsia="黑体" w:cs="Times New Roman"/>
          <w:kern w:val="2"/>
          <w:sz w:val="36"/>
          <w:szCs w:val="36"/>
          <w:lang w:val="en-US" w:eastAsia="zh-CN" w:bidi="ar"/>
        </w:rPr>
        <w:t>录</w:t>
      </w:r>
    </w:p>
    <w:p>
      <w:pPr>
        <w:pStyle w:val="4"/>
        <w:widowControl/>
        <w:spacing w:after="0" w:afterAutospacing="1" w:line="440" w:lineRule="exact"/>
        <w:ind w:left="0" w:right="0"/>
        <w:rPr>
          <w:rFonts w:hint="default" w:ascii="Times New Roman" w:hAnsi="Times New Roman" w:cs="Times New Roman"/>
          <w:b w:val="0"/>
          <w:caps w:val="0"/>
          <w:kern w:val="2"/>
          <w:sz w:val="28"/>
          <w:szCs w:val="28"/>
        </w:rPr>
      </w:pPr>
      <w:r>
        <w:fldChar w:fldCharType="begin"/>
      </w:r>
      <w:r>
        <w:instrText xml:space="preserve"> HYPERLINK "" \l "_Toc389470848" </w:instrText>
      </w:r>
      <w:r>
        <w:fldChar w:fldCharType="separate"/>
      </w:r>
      <w:r>
        <w:rPr>
          <w:rStyle w:val="9"/>
          <w:rFonts w:hint="default" w:ascii="Times New Roman" w:hAnsi="Times New Roman" w:cs="Times New Roman"/>
          <w:color w:val="0000FF"/>
          <w:sz w:val="28"/>
          <w:szCs w:val="28"/>
          <w:u w:val="single"/>
        </w:rPr>
        <w:t>一、规划背景</w:t>
      </w:r>
      <w:r>
        <w:rPr>
          <w:rStyle w:val="9"/>
          <w:rFonts w:hint="default" w:ascii="Times New Roman" w:hAnsi="Times New Roman" w:cs="Times New Roman"/>
          <w:b/>
          <w:caps/>
          <w:kern w:val="2"/>
          <w:sz w:val="28"/>
          <w:szCs w:val="28"/>
        </w:rPr>
        <w:tab/>
        <w:t>1</w:t>
      </w:r>
      <w:r>
        <w:fldChar w:fldCharType="end"/>
      </w:r>
    </w:p>
    <w:p>
      <w:pPr>
        <w:pStyle w:val="4"/>
        <w:widowControl/>
        <w:spacing w:after="0" w:afterAutospacing="1" w:line="440" w:lineRule="exact"/>
        <w:ind w:left="0" w:right="0"/>
        <w:rPr>
          <w:rFonts w:hint="default" w:ascii="Times New Roman" w:hAnsi="Times New Roman" w:cs="Times New Roman"/>
          <w:b w:val="0"/>
          <w:caps w:val="0"/>
          <w:kern w:val="2"/>
          <w:sz w:val="28"/>
          <w:szCs w:val="28"/>
        </w:rPr>
      </w:pPr>
      <w:r>
        <w:fldChar w:fldCharType="begin"/>
      </w:r>
      <w:r>
        <w:instrText xml:space="preserve"> HYPERLINK "" \l "_Toc389470849" </w:instrText>
      </w:r>
      <w:r>
        <w:fldChar w:fldCharType="separate"/>
      </w:r>
      <w:r>
        <w:rPr>
          <w:rStyle w:val="9"/>
          <w:rFonts w:hint="default" w:ascii="Times New Roman" w:hAnsi="Times New Roman" w:cs="Times New Roman"/>
          <w:color w:val="0000FF"/>
          <w:sz w:val="28"/>
          <w:szCs w:val="28"/>
          <w:u w:val="single"/>
        </w:rPr>
        <w:t>二、总体要求</w:t>
      </w:r>
      <w:r>
        <w:rPr>
          <w:rStyle w:val="9"/>
          <w:rFonts w:hint="default" w:ascii="Times New Roman" w:hAnsi="Times New Roman" w:cs="Times New Roman"/>
          <w:b/>
          <w:caps/>
          <w:kern w:val="2"/>
          <w:sz w:val="28"/>
          <w:szCs w:val="28"/>
        </w:rPr>
        <w:tab/>
        <w:t>2</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"_Toc389470850" </w:instrText>
      </w:r>
      <w:r>
        <w:fldChar w:fldCharType="separate"/>
      </w:r>
      <w:r>
        <w:rPr>
          <w:rStyle w:val="9"/>
          <w:rFonts w:hint="default" w:ascii="Times New Roman" w:hAnsi="Times New Roman" w:eastAsia="楷体_GB2312" w:cs="Times New Roman"/>
          <w:color w:val="0000FF"/>
          <w:sz w:val="28"/>
          <w:szCs w:val="28"/>
          <w:u w:val="single"/>
        </w:rPr>
        <w:t>（一）指导思想</w:t>
      </w:r>
      <w:r>
        <w:rPr>
          <w:rStyle w:val="9"/>
          <w:rFonts w:hint="default" w:ascii="Times New Roman" w:hAnsi="Times New Roman" w:cs="Times New Roman"/>
          <w:b/>
          <w:kern w:val="2"/>
          <w:sz w:val="28"/>
          <w:szCs w:val="28"/>
        </w:rPr>
        <w:tab/>
        <w:t>2</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"_Toc389470851" </w:instrText>
      </w:r>
      <w:r>
        <w:fldChar w:fldCharType="separate"/>
      </w:r>
      <w:r>
        <w:rPr>
          <w:rStyle w:val="9"/>
          <w:rFonts w:hint="default" w:ascii="Times New Roman" w:hAnsi="Times New Roman" w:eastAsia="楷体_GB2312" w:cs="Times New Roman"/>
          <w:color w:val="0000FF"/>
          <w:sz w:val="28"/>
          <w:szCs w:val="28"/>
          <w:u w:val="single"/>
        </w:rPr>
        <w:t>（二）建设目标</w:t>
      </w:r>
      <w:r>
        <w:rPr>
          <w:rStyle w:val="9"/>
          <w:rFonts w:hint="default" w:ascii="Times New Roman" w:hAnsi="Times New Roman" w:cs="Times New Roman"/>
          <w:b/>
          <w:kern w:val="2"/>
          <w:sz w:val="28"/>
          <w:szCs w:val="28"/>
        </w:rPr>
        <w:tab/>
        <w:t>3</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"_Toc389470852" </w:instrText>
      </w:r>
      <w:r>
        <w:fldChar w:fldCharType="separate"/>
      </w:r>
      <w:r>
        <w:rPr>
          <w:rStyle w:val="9"/>
          <w:rFonts w:hint="default" w:ascii="Times New Roman" w:hAnsi="Times New Roman" w:eastAsia="楷体_GB2312" w:cs="Times New Roman"/>
          <w:color w:val="0000FF"/>
          <w:sz w:val="28"/>
          <w:szCs w:val="28"/>
          <w:u w:val="single"/>
        </w:rPr>
        <w:t>（三）基本原则</w:t>
      </w:r>
      <w:r>
        <w:rPr>
          <w:rStyle w:val="9"/>
          <w:rFonts w:hint="default" w:ascii="Times New Roman" w:hAnsi="Times New Roman" w:cs="Times New Roman"/>
          <w:b/>
          <w:kern w:val="2"/>
          <w:sz w:val="28"/>
          <w:szCs w:val="28"/>
        </w:rPr>
        <w:tab/>
        <w:t>4</w:t>
      </w:r>
      <w:r>
        <w:fldChar w:fldCharType="end"/>
      </w:r>
    </w:p>
    <w:p>
      <w:pPr>
        <w:pStyle w:val="4"/>
        <w:widowControl/>
        <w:spacing w:after="0" w:afterAutospacing="1" w:line="440" w:lineRule="exact"/>
        <w:ind w:left="0" w:right="0"/>
        <w:rPr>
          <w:rFonts w:hint="default" w:ascii="Times New Roman" w:hAnsi="Times New Roman" w:cs="Times New Roman"/>
          <w:b w:val="0"/>
          <w:caps w:val="0"/>
          <w:kern w:val="2"/>
          <w:sz w:val="28"/>
          <w:szCs w:val="28"/>
        </w:rPr>
      </w:pPr>
      <w:r>
        <w:fldChar w:fldCharType="begin"/>
      </w:r>
      <w:r>
        <w:instrText xml:space="preserve"> HYPERLINK "" \l "_Toc389470853" </w:instrText>
      </w:r>
      <w:r>
        <w:fldChar w:fldCharType="separate"/>
      </w:r>
      <w:r>
        <w:rPr>
          <w:rStyle w:val="9"/>
          <w:rFonts w:hint="default" w:ascii="Times New Roman" w:hAnsi="Times New Roman" w:cs="Times New Roman"/>
          <w:color w:val="0000FF"/>
          <w:sz w:val="28"/>
          <w:szCs w:val="28"/>
          <w:u w:val="single"/>
        </w:rPr>
        <w:t>三、体系的基本架构</w:t>
      </w:r>
      <w:r>
        <w:rPr>
          <w:rStyle w:val="9"/>
          <w:rFonts w:hint="default" w:ascii="Times New Roman" w:hAnsi="Times New Roman" w:cs="Times New Roman"/>
          <w:b/>
          <w:caps/>
          <w:kern w:val="2"/>
          <w:sz w:val="28"/>
          <w:szCs w:val="28"/>
        </w:rPr>
        <w:tab/>
        <w:t>5</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"_Toc389470854" </w:instrText>
      </w:r>
      <w:r>
        <w:fldChar w:fldCharType="separate"/>
      </w:r>
      <w:r>
        <w:rPr>
          <w:rStyle w:val="9"/>
          <w:rFonts w:hint="default" w:ascii="Times New Roman" w:hAnsi="Times New Roman" w:eastAsia="楷体_GB2312" w:cs="Times New Roman"/>
          <w:color w:val="0000FF"/>
          <w:sz w:val="28"/>
          <w:szCs w:val="28"/>
          <w:u w:val="single"/>
        </w:rPr>
        <w:t>（一）职业教育的层次结构</w:t>
      </w:r>
      <w:r>
        <w:rPr>
          <w:rStyle w:val="9"/>
          <w:rFonts w:hint="default" w:ascii="Times New Roman" w:hAnsi="Times New Roman" w:cs="Times New Roman"/>
          <w:b/>
          <w:kern w:val="2"/>
          <w:sz w:val="28"/>
          <w:szCs w:val="28"/>
        </w:rPr>
        <w:tab/>
        <w:t>6</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"_Toc389470855" </w:instrText>
      </w:r>
      <w:r>
        <w:fldChar w:fldCharType="separate"/>
      </w:r>
      <w:r>
        <w:rPr>
          <w:rStyle w:val="9"/>
          <w:rFonts w:hint="default" w:ascii="Times New Roman" w:hAnsi="Times New Roman" w:eastAsia="楷体_GB2312" w:cs="Times New Roman"/>
          <w:color w:val="0000FF"/>
          <w:sz w:val="28"/>
          <w:szCs w:val="28"/>
          <w:u w:val="single"/>
        </w:rPr>
        <w:t>（二）职业教育的终身一体</w:t>
      </w:r>
      <w:r>
        <w:rPr>
          <w:rStyle w:val="9"/>
          <w:rFonts w:hint="default" w:ascii="Times New Roman" w:hAnsi="Times New Roman" w:cs="Times New Roman"/>
          <w:b/>
          <w:kern w:val="2"/>
          <w:sz w:val="28"/>
          <w:szCs w:val="28"/>
        </w:rPr>
        <w:tab/>
        <w:t>7</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"_Toc389470856" </w:instrText>
      </w:r>
      <w:r>
        <w:fldChar w:fldCharType="separate"/>
      </w:r>
      <w:r>
        <w:rPr>
          <w:rStyle w:val="9"/>
          <w:rFonts w:hint="default" w:ascii="Times New Roman" w:hAnsi="Times New Roman" w:eastAsia="楷体_GB2312" w:cs="Times New Roman"/>
          <w:color w:val="0000FF"/>
          <w:sz w:val="28"/>
          <w:szCs w:val="28"/>
          <w:u w:val="single"/>
        </w:rPr>
        <w:t>（三）职业教育的办学类型</w:t>
      </w:r>
      <w:r>
        <w:rPr>
          <w:rStyle w:val="9"/>
          <w:rFonts w:hint="default" w:ascii="Times New Roman" w:hAnsi="Times New Roman" w:cs="Times New Roman"/>
          <w:b/>
          <w:kern w:val="2"/>
          <w:sz w:val="28"/>
          <w:szCs w:val="28"/>
        </w:rPr>
        <w:tab/>
        <w:t>8</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"_Toc389470857" </w:instrText>
      </w:r>
      <w:r>
        <w:fldChar w:fldCharType="separate"/>
      </w:r>
      <w:r>
        <w:rPr>
          <w:rStyle w:val="9"/>
          <w:rFonts w:hint="default" w:ascii="Times New Roman" w:hAnsi="Times New Roman" w:eastAsia="楷体_GB2312" w:cs="Times New Roman"/>
          <w:color w:val="0000FF"/>
          <w:sz w:val="28"/>
          <w:szCs w:val="28"/>
          <w:u w:val="single"/>
        </w:rPr>
        <w:t>（四）职业教育的开放沟通</w:t>
      </w:r>
      <w:r>
        <w:rPr>
          <w:rStyle w:val="9"/>
          <w:rFonts w:hint="default" w:ascii="Times New Roman" w:hAnsi="Times New Roman" w:cs="Times New Roman"/>
          <w:b/>
          <w:kern w:val="2"/>
          <w:sz w:val="28"/>
          <w:szCs w:val="28"/>
        </w:rPr>
        <w:tab/>
        <w:t>9</w:t>
      </w:r>
      <w:r>
        <w:fldChar w:fldCharType="end"/>
      </w:r>
    </w:p>
    <w:p>
      <w:pPr>
        <w:pStyle w:val="4"/>
        <w:widowControl/>
        <w:spacing w:after="0" w:afterAutospacing="1" w:line="440" w:lineRule="exact"/>
        <w:ind w:left="0" w:right="0"/>
        <w:rPr>
          <w:rFonts w:hint="default" w:ascii="Times New Roman" w:hAnsi="Times New Roman" w:cs="Times New Roman"/>
          <w:b w:val="0"/>
          <w:caps w:val="0"/>
          <w:kern w:val="2"/>
          <w:sz w:val="28"/>
          <w:szCs w:val="28"/>
        </w:rPr>
      </w:pPr>
      <w:r>
        <w:fldChar w:fldCharType="begin"/>
      </w:r>
      <w:r>
        <w:instrText xml:space="preserve"> HYPERLINK "" \l "_Toc389470858" </w:instrText>
      </w:r>
      <w:r>
        <w:fldChar w:fldCharType="separate"/>
      </w:r>
      <w:r>
        <w:rPr>
          <w:rStyle w:val="9"/>
          <w:rFonts w:hint="default" w:ascii="Times New Roman" w:hAnsi="Times New Roman" w:cs="Times New Roman"/>
          <w:color w:val="0000FF"/>
          <w:sz w:val="28"/>
          <w:szCs w:val="28"/>
          <w:u w:val="single"/>
        </w:rPr>
        <w:t>四、体系建设的重点任务</w:t>
      </w:r>
      <w:r>
        <w:rPr>
          <w:rStyle w:val="9"/>
          <w:rFonts w:hint="default" w:ascii="Times New Roman" w:hAnsi="Times New Roman" w:cs="Times New Roman"/>
          <w:b/>
          <w:caps/>
          <w:kern w:val="2"/>
          <w:sz w:val="28"/>
          <w:szCs w:val="28"/>
        </w:rPr>
        <w:tab/>
        <w:t>9</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"_Toc389470859" </w:instrText>
      </w:r>
      <w:r>
        <w:fldChar w:fldCharType="separate"/>
      </w:r>
      <w:r>
        <w:rPr>
          <w:rStyle w:val="9"/>
          <w:rFonts w:hint="default" w:ascii="Times New Roman" w:hAnsi="Times New Roman" w:eastAsia="楷体_GB2312" w:cs="Times New Roman"/>
          <w:color w:val="0000FF"/>
          <w:sz w:val="28"/>
          <w:szCs w:val="28"/>
          <w:u w:val="single"/>
        </w:rPr>
        <w:t>（一）优化职业教育服务产业布局</w:t>
      </w:r>
      <w:r>
        <w:rPr>
          <w:rStyle w:val="9"/>
          <w:rFonts w:hint="default" w:ascii="Times New Roman" w:hAnsi="Times New Roman" w:cs="Times New Roman"/>
          <w:b/>
          <w:kern w:val="2"/>
          <w:sz w:val="28"/>
          <w:szCs w:val="28"/>
        </w:rPr>
        <w:tab/>
        <w:t>10</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"_Toc389470860" </w:instrText>
      </w:r>
      <w:r>
        <w:fldChar w:fldCharType="separate"/>
      </w:r>
      <w:r>
        <w:rPr>
          <w:rStyle w:val="9"/>
          <w:rFonts w:hint="default" w:ascii="Times New Roman" w:hAnsi="Times New Roman" w:eastAsia="楷体_GB2312" w:cs="Times New Roman"/>
          <w:color w:val="0000FF"/>
          <w:sz w:val="28"/>
          <w:szCs w:val="28"/>
          <w:u w:val="single"/>
        </w:rPr>
        <w:t>（二）统筹职业教育区域发展布局</w:t>
      </w:r>
      <w:r>
        <w:rPr>
          <w:rStyle w:val="9"/>
          <w:rFonts w:hint="default" w:ascii="Times New Roman" w:hAnsi="Times New Roman" w:cs="Times New Roman"/>
          <w:b/>
          <w:kern w:val="2"/>
          <w:sz w:val="28"/>
          <w:szCs w:val="28"/>
        </w:rPr>
        <w:tab/>
        <w:t>12</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"_Toc389470861" </w:instrText>
      </w:r>
      <w:r>
        <w:fldChar w:fldCharType="separate"/>
      </w:r>
      <w:r>
        <w:rPr>
          <w:rStyle w:val="9"/>
          <w:rFonts w:hint="default" w:ascii="Times New Roman" w:hAnsi="Times New Roman" w:eastAsia="楷体_GB2312" w:cs="Times New Roman"/>
          <w:color w:val="0000FF"/>
          <w:sz w:val="28"/>
          <w:szCs w:val="28"/>
          <w:u w:val="single"/>
        </w:rPr>
        <w:t>（三）加快民办职业教育发展步伐</w:t>
      </w:r>
      <w:r>
        <w:rPr>
          <w:rStyle w:val="9"/>
          <w:rFonts w:hint="default" w:ascii="Times New Roman" w:hAnsi="Times New Roman" w:cs="Times New Roman"/>
          <w:b/>
          <w:kern w:val="2"/>
          <w:sz w:val="28"/>
          <w:szCs w:val="28"/>
        </w:rPr>
        <w:tab/>
        <w:t>13</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"_Toc389470862" </w:instrText>
      </w:r>
      <w:r>
        <w:fldChar w:fldCharType="separate"/>
      </w:r>
      <w:r>
        <w:rPr>
          <w:rStyle w:val="9"/>
          <w:rFonts w:hint="default" w:ascii="Times New Roman" w:hAnsi="Times New Roman" w:eastAsia="楷体_GB2312" w:cs="Times New Roman"/>
          <w:color w:val="0000FF"/>
          <w:sz w:val="28"/>
          <w:szCs w:val="28"/>
          <w:u w:val="single"/>
        </w:rPr>
        <w:t>（四）推动职业教育集团化发展</w:t>
      </w:r>
      <w:r>
        <w:rPr>
          <w:rStyle w:val="9"/>
          <w:rFonts w:hint="default" w:ascii="Times New Roman" w:hAnsi="Times New Roman" w:cs="Times New Roman"/>
          <w:b/>
          <w:kern w:val="2"/>
          <w:sz w:val="28"/>
          <w:szCs w:val="28"/>
        </w:rPr>
        <w:tab/>
        <w:t>14</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"_Toc389470863" </w:instrText>
      </w:r>
      <w:r>
        <w:fldChar w:fldCharType="separate"/>
      </w:r>
      <w:r>
        <w:rPr>
          <w:rStyle w:val="9"/>
          <w:rFonts w:hint="default" w:ascii="Times New Roman" w:hAnsi="Times New Roman" w:eastAsia="楷体_GB2312" w:cs="Times New Roman"/>
          <w:color w:val="0000FF"/>
          <w:sz w:val="28"/>
          <w:szCs w:val="28"/>
          <w:u w:val="single"/>
        </w:rPr>
        <w:t>（五）加强中等职业教育基础地位</w:t>
      </w:r>
      <w:r>
        <w:rPr>
          <w:rStyle w:val="9"/>
          <w:rFonts w:hint="default" w:ascii="Times New Roman" w:hAnsi="Times New Roman" w:cs="Times New Roman"/>
          <w:b/>
          <w:kern w:val="2"/>
          <w:sz w:val="28"/>
          <w:szCs w:val="28"/>
        </w:rPr>
        <w:tab/>
        <w:t>15</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"_Toc389470864" </w:instrText>
      </w:r>
      <w:r>
        <w:fldChar w:fldCharType="separate"/>
      </w:r>
      <w:r>
        <w:rPr>
          <w:rStyle w:val="9"/>
          <w:rFonts w:hint="default" w:ascii="Times New Roman" w:hAnsi="Times New Roman" w:eastAsia="楷体_GB2312" w:cs="Times New Roman"/>
          <w:color w:val="0000FF"/>
          <w:sz w:val="28"/>
          <w:szCs w:val="28"/>
          <w:u w:val="single"/>
        </w:rPr>
        <w:t>（六）优化高等职业教育结构</w:t>
      </w:r>
      <w:r>
        <w:rPr>
          <w:rStyle w:val="9"/>
          <w:rFonts w:hint="default" w:ascii="Times New Roman" w:hAnsi="Times New Roman" w:cs="Times New Roman"/>
          <w:b/>
          <w:kern w:val="2"/>
          <w:sz w:val="28"/>
          <w:szCs w:val="28"/>
        </w:rPr>
        <w:tab/>
        <w:t>16</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"_Toc389470865" </w:instrText>
      </w:r>
      <w:r>
        <w:fldChar w:fldCharType="separate"/>
      </w:r>
      <w:r>
        <w:rPr>
          <w:rStyle w:val="9"/>
          <w:rFonts w:hint="default" w:ascii="Times New Roman" w:hAnsi="Times New Roman" w:eastAsia="楷体_GB2312" w:cs="Times New Roman"/>
          <w:color w:val="0000FF"/>
          <w:sz w:val="28"/>
          <w:szCs w:val="28"/>
          <w:u w:val="single"/>
        </w:rPr>
        <w:t>（七）完善职业人才衔接培养体系</w:t>
      </w:r>
      <w:r>
        <w:rPr>
          <w:rStyle w:val="9"/>
          <w:rFonts w:hint="default" w:ascii="Times New Roman" w:hAnsi="Times New Roman" w:cs="Times New Roman"/>
          <w:b/>
          <w:kern w:val="2"/>
          <w:sz w:val="28"/>
          <w:szCs w:val="28"/>
        </w:rPr>
        <w:tab/>
        <w:t>17</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"_Toc389470866" </w:instrText>
      </w:r>
      <w:r>
        <w:fldChar w:fldCharType="separate"/>
      </w:r>
      <w:r>
        <w:rPr>
          <w:rStyle w:val="9"/>
          <w:rFonts w:hint="default" w:ascii="Times New Roman" w:hAnsi="Times New Roman" w:eastAsia="楷体_GB2312" w:cs="Times New Roman"/>
          <w:color w:val="0000FF"/>
          <w:sz w:val="28"/>
          <w:szCs w:val="28"/>
          <w:u w:val="single"/>
        </w:rPr>
        <w:t>（八）建立职业教育质量保障体系</w:t>
      </w:r>
      <w:r>
        <w:rPr>
          <w:rStyle w:val="9"/>
          <w:rFonts w:hint="default" w:ascii="Times New Roman" w:hAnsi="Times New Roman" w:cs="Times New Roman"/>
          <w:b/>
          <w:kern w:val="2"/>
          <w:sz w:val="28"/>
          <w:szCs w:val="28"/>
        </w:rPr>
        <w:tab/>
        <w:t>18</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"_Toc389470867" </w:instrText>
      </w:r>
      <w:r>
        <w:fldChar w:fldCharType="separate"/>
      </w:r>
      <w:r>
        <w:rPr>
          <w:rStyle w:val="9"/>
          <w:rFonts w:hint="default" w:ascii="Times New Roman" w:hAnsi="Times New Roman" w:eastAsia="楷体_GB2312" w:cs="Times New Roman"/>
          <w:color w:val="0000FF"/>
          <w:sz w:val="28"/>
          <w:szCs w:val="28"/>
          <w:u w:val="single"/>
        </w:rPr>
        <w:t>（九）改革职业教育专业课程体系</w:t>
      </w:r>
      <w:r>
        <w:rPr>
          <w:rStyle w:val="9"/>
          <w:rFonts w:hint="default" w:ascii="Times New Roman" w:hAnsi="Times New Roman" w:cs="Times New Roman"/>
          <w:b/>
          <w:kern w:val="2"/>
          <w:sz w:val="28"/>
          <w:szCs w:val="28"/>
        </w:rPr>
        <w:tab/>
        <w:t>19</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"_Toc389470868" </w:instrText>
      </w:r>
      <w:r>
        <w:fldChar w:fldCharType="separate"/>
      </w:r>
      <w:r>
        <w:rPr>
          <w:rStyle w:val="9"/>
          <w:rFonts w:hint="default" w:ascii="Times New Roman" w:hAnsi="Times New Roman" w:eastAsia="楷体_GB2312" w:cs="Times New Roman"/>
          <w:color w:val="0000FF"/>
          <w:sz w:val="28"/>
          <w:szCs w:val="28"/>
          <w:u w:val="single"/>
        </w:rPr>
        <w:t>（十）完善“</w:t>
      </w:r>
      <w:r>
        <w:rPr>
          <w:rStyle w:val="9"/>
          <w:rFonts w:hint="eastAsia" w:ascii="楷体_GB2312" w:hAnsi="Times New Roman" w:eastAsia="楷体_GB2312" w:cs="楷体_GB2312"/>
          <w:color w:val="0000FF"/>
          <w:sz w:val="28"/>
          <w:szCs w:val="28"/>
          <w:u w:val="single"/>
        </w:rPr>
        <w:t>双师型</w:t>
      </w:r>
      <w:r>
        <w:rPr>
          <w:rStyle w:val="9"/>
          <w:rFonts w:hint="default" w:ascii="Times New Roman" w:hAnsi="Times New Roman" w:eastAsia="楷体_GB2312" w:cs="Times New Roman"/>
          <w:color w:val="0000FF"/>
          <w:sz w:val="28"/>
          <w:szCs w:val="28"/>
          <w:u w:val="single"/>
        </w:rPr>
        <w:t>”</w:t>
      </w:r>
      <w:r>
        <w:rPr>
          <w:rStyle w:val="9"/>
          <w:rFonts w:hint="eastAsia" w:ascii="楷体_GB2312" w:hAnsi="Times New Roman" w:eastAsia="楷体_GB2312" w:cs="楷体_GB2312"/>
          <w:color w:val="0000FF"/>
          <w:sz w:val="28"/>
          <w:szCs w:val="28"/>
          <w:u w:val="single"/>
        </w:rPr>
        <w:t>教师培养培训体系</w:t>
      </w:r>
      <w:r>
        <w:rPr>
          <w:rStyle w:val="9"/>
          <w:rFonts w:hint="default" w:ascii="Times New Roman" w:hAnsi="Times New Roman" w:cs="Times New Roman"/>
          <w:b/>
          <w:kern w:val="2"/>
          <w:sz w:val="28"/>
          <w:szCs w:val="28"/>
        </w:rPr>
        <w:tab/>
        <w:t>20</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"_Toc389470869" </w:instrText>
      </w:r>
      <w:r>
        <w:fldChar w:fldCharType="separate"/>
      </w:r>
      <w:r>
        <w:rPr>
          <w:rStyle w:val="9"/>
          <w:rFonts w:hint="default" w:ascii="Times New Roman" w:hAnsi="Times New Roman" w:eastAsia="楷体_GB2312" w:cs="Times New Roman"/>
          <w:color w:val="0000FF"/>
          <w:sz w:val="28"/>
          <w:szCs w:val="28"/>
          <w:u w:val="single"/>
        </w:rPr>
        <w:t>（十一）加速数字化、信息化进程</w:t>
      </w:r>
      <w:r>
        <w:rPr>
          <w:rStyle w:val="9"/>
          <w:rFonts w:hint="default" w:ascii="Times New Roman" w:hAnsi="Times New Roman" w:cs="Times New Roman"/>
          <w:b/>
          <w:kern w:val="2"/>
          <w:sz w:val="28"/>
          <w:szCs w:val="28"/>
        </w:rPr>
        <w:tab/>
        <w:t>21</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"_Toc389470870" </w:instrText>
      </w:r>
      <w:r>
        <w:fldChar w:fldCharType="separate"/>
      </w:r>
      <w:r>
        <w:rPr>
          <w:rStyle w:val="9"/>
          <w:rFonts w:hint="default" w:ascii="Times New Roman" w:hAnsi="Times New Roman" w:eastAsia="楷体_GB2312" w:cs="Times New Roman"/>
          <w:color w:val="0000FF"/>
          <w:sz w:val="28"/>
          <w:szCs w:val="28"/>
          <w:u w:val="single"/>
        </w:rPr>
        <w:t>（十二）建设开放型职业教育体系</w:t>
      </w:r>
      <w:r>
        <w:rPr>
          <w:rStyle w:val="9"/>
          <w:rFonts w:hint="default" w:ascii="Times New Roman" w:hAnsi="Times New Roman" w:cs="Times New Roman"/>
          <w:b/>
          <w:kern w:val="2"/>
          <w:sz w:val="28"/>
          <w:szCs w:val="28"/>
        </w:rPr>
        <w:tab/>
        <w:t>22</w:t>
      </w:r>
      <w:r>
        <w:fldChar w:fldCharType="end"/>
      </w:r>
    </w:p>
    <w:p>
      <w:pPr>
        <w:pStyle w:val="4"/>
        <w:widowControl/>
        <w:spacing w:after="0" w:afterAutospacing="1" w:line="440" w:lineRule="exact"/>
        <w:ind w:left="0" w:right="0"/>
        <w:rPr>
          <w:rFonts w:hint="default" w:ascii="Times New Roman" w:hAnsi="Times New Roman" w:cs="Times New Roman"/>
          <w:b w:val="0"/>
          <w:caps w:val="0"/>
          <w:kern w:val="2"/>
          <w:sz w:val="28"/>
          <w:szCs w:val="28"/>
        </w:rPr>
      </w:pPr>
      <w:r>
        <w:fldChar w:fldCharType="begin"/>
      </w:r>
      <w:r>
        <w:instrText xml:space="preserve"> HYPERLINK "" \l "_Toc389470871" </w:instrText>
      </w:r>
      <w:r>
        <w:fldChar w:fldCharType="separate"/>
      </w:r>
      <w:r>
        <w:rPr>
          <w:rStyle w:val="9"/>
          <w:rFonts w:hint="default" w:ascii="Times New Roman" w:hAnsi="Times New Roman" w:cs="Times New Roman"/>
          <w:color w:val="0000FF"/>
          <w:sz w:val="28"/>
          <w:szCs w:val="28"/>
          <w:u w:val="single"/>
        </w:rPr>
        <w:t>五、体系建设的制度保障和机制创新</w:t>
      </w:r>
      <w:r>
        <w:rPr>
          <w:rStyle w:val="9"/>
          <w:rFonts w:hint="default" w:ascii="Times New Roman" w:hAnsi="Times New Roman" w:cs="Times New Roman"/>
          <w:b/>
          <w:caps/>
          <w:kern w:val="2"/>
          <w:sz w:val="28"/>
          <w:szCs w:val="28"/>
        </w:rPr>
        <w:tab/>
        <w:t>23</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"_Toc389470872" </w:instrText>
      </w:r>
      <w:r>
        <w:fldChar w:fldCharType="separate"/>
      </w:r>
      <w:r>
        <w:rPr>
          <w:rStyle w:val="9"/>
          <w:rFonts w:hint="default" w:ascii="Times New Roman" w:hAnsi="Times New Roman" w:eastAsia="楷体_GB2312" w:cs="Times New Roman"/>
          <w:color w:val="0000FF"/>
          <w:sz w:val="28"/>
          <w:szCs w:val="28"/>
          <w:u w:val="single"/>
        </w:rPr>
        <w:t>（一）完善职业教育法律体系和标准体系</w:t>
      </w:r>
      <w:r>
        <w:rPr>
          <w:rStyle w:val="9"/>
          <w:rFonts w:hint="default" w:ascii="Times New Roman" w:hAnsi="Times New Roman" w:cs="Times New Roman"/>
          <w:b/>
          <w:kern w:val="2"/>
          <w:sz w:val="28"/>
          <w:szCs w:val="28"/>
        </w:rPr>
        <w:tab/>
        <w:t>23</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"_Toc389470873" </w:instrText>
      </w:r>
      <w:r>
        <w:fldChar w:fldCharType="separate"/>
      </w:r>
      <w:r>
        <w:rPr>
          <w:rStyle w:val="9"/>
          <w:rFonts w:hint="default" w:ascii="Times New Roman" w:hAnsi="Times New Roman" w:eastAsia="楷体_GB2312" w:cs="Times New Roman"/>
          <w:color w:val="0000FF"/>
          <w:sz w:val="28"/>
          <w:szCs w:val="28"/>
          <w:u w:val="single"/>
        </w:rPr>
        <w:t>（二）推进职业教育管办评分离改革</w:t>
      </w:r>
      <w:r>
        <w:rPr>
          <w:rStyle w:val="9"/>
          <w:rFonts w:hint="default" w:ascii="Times New Roman" w:hAnsi="Times New Roman" w:cs="Times New Roman"/>
          <w:b/>
          <w:kern w:val="2"/>
          <w:sz w:val="28"/>
          <w:szCs w:val="28"/>
        </w:rPr>
        <w:tab/>
        <w:t>24</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"_Toc389470874" </w:instrText>
      </w:r>
      <w:r>
        <w:fldChar w:fldCharType="separate"/>
      </w:r>
      <w:r>
        <w:rPr>
          <w:rStyle w:val="9"/>
          <w:rFonts w:hint="default" w:ascii="Times New Roman" w:hAnsi="Times New Roman" w:eastAsia="楷体_GB2312" w:cs="Times New Roman"/>
          <w:color w:val="0000FF"/>
          <w:sz w:val="28"/>
          <w:szCs w:val="28"/>
          <w:u w:val="single"/>
        </w:rPr>
        <w:t>（三）深化职业教育招生考试制度改革</w:t>
      </w:r>
      <w:r>
        <w:rPr>
          <w:rStyle w:val="9"/>
          <w:rFonts w:hint="default" w:ascii="Times New Roman" w:hAnsi="Times New Roman" w:cs="Times New Roman"/>
          <w:b/>
          <w:kern w:val="2"/>
          <w:sz w:val="28"/>
          <w:szCs w:val="28"/>
        </w:rPr>
        <w:tab/>
        <w:t>25</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"_Toc389470875" </w:instrText>
      </w:r>
      <w:r>
        <w:fldChar w:fldCharType="separate"/>
      </w:r>
      <w:r>
        <w:rPr>
          <w:rStyle w:val="9"/>
          <w:rFonts w:hint="default" w:ascii="Times New Roman" w:hAnsi="Times New Roman" w:eastAsia="楷体_GB2312" w:cs="Times New Roman"/>
          <w:color w:val="0000FF"/>
          <w:sz w:val="28"/>
          <w:szCs w:val="28"/>
          <w:u w:val="single"/>
        </w:rPr>
        <w:t>（四）完善校企合作的现代职业院校治理结构</w:t>
      </w:r>
      <w:r>
        <w:rPr>
          <w:rStyle w:val="9"/>
          <w:rFonts w:hint="default" w:ascii="Times New Roman" w:hAnsi="Times New Roman" w:cs="Times New Roman"/>
          <w:b/>
          <w:kern w:val="2"/>
          <w:sz w:val="28"/>
          <w:szCs w:val="28"/>
        </w:rPr>
        <w:tab/>
        <w:t>26</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"_Toc389470876" </w:instrText>
      </w:r>
      <w:r>
        <w:fldChar w:fldCharType="separate"/>
      </w:r>
      <w:r>
        <w:rPr>
          <w:rStyle w:val="9"/>
          <w:rFonts w:hint="default" w:ascii="Times New Roman" w:hAnsi="Times New Roman" w:eastAsia="楷体_GB2312" w:cs="Times New Roman"/>
          <w:color w:val="0000FF"/>
          <w:sz w:val="28"/>
          <w:szCs w:val="28"/>
          <w:u w:val="single"/>
        </w:rPr>
        <w:t>（五）创新校企协同的技术技能积累机制</w:t>
      </w:r>
      <w:r>
        <w:rPr>
          <w:rStyle w:val="9"/>
          <w:rFonts w:hint="default" w:ascii="Times New Roman" w:hAnsi="Times New Roman" w:cs="Times New Roman"/>
          <w:b/>
          <w:kern w:val="2"/>
          <w:sz w:val="28"/>
          <w:szCs w:val="28"/>
        </w:rPr>
        <w:tab/>
        <w:t>27</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"_Toc389470877" </w:instrText>
      </w:r>
      <w:r>
        <w:fldChar w:fldCharType="separate"/>
      </w:r>
      <w:r>
        <w:rPr>
          <w:rStyle w:val="9"/>
          <w:rFonts w:hint="default" w:ascii="Times New Roman" w:hAnsi="Times New Roman" w:eastAsia="楷体_GB2312" w:cs="Times New Roman"/>
          <w:color w:val="0000FF"/>
          <w:sz w:val="28"/>
          <w:szCs w:val="28"/>
          <w:u w:val="single"/>
        </w:rPr>
        <w:t>（六）构建适应现代职业教育体系的投入机制</w:t>
      </w:r>
      <w:r>
        <w:rPr>
          <w:rStyle w:val="9"/>
          <w:rFonts w:hint="default" w:ascii="Times New Roman" w:hAnsi="Times New Roman" w:cs="Times New Roman"/>
          <w:b/>
          <w:kern w:val="2"/>
          <w:sz w:val="28"/>
          <w:szCs w:val="28"/>
        </w:rPr>
        <w:tab/>
        <w:t>28</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"_Toc389470878" </w:instrText>
      </w:r>
      <w:r>
        <w:fldChar w:fldCharType="separate"/>
      </w:r>
      <w:r>
        <w:rPr>
          <w:rStyle w:val="9"/>
          <w:rFonts w:hint="default" w:ascii="Times New Roman" w:hAnsi="Times New Roman" w:eastAsia="楷体_GB2312" w:cs="Times New Roman"/>
          <w:color w:val="0000FF"/>
          <w:sz w:val="28"/>
          <w:szCs w:val="28"/>
          <w:u w:val="single"/>
        </w:rPr>
        <w:t>（七）健全促进职业教育公平的体制机制</w:t>
      </w:r>
      <w:r>
        <w:rPr>
          <w:rStyle w:val="9"/>
          <w:rFonts w:hint="default" w:ascii="Times New Roman" w:hAnsi="Times New Roman" w:cs="Times New Roman"/>
          <w:b/>
          <w:kern w:val="2"/>
          <w:sz w:val="28"/>
          <w:szCs w:val="28"/>
        </w:rPr>
        <w:tab/>
        <w:t>29</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"_Toc389470879" </w:instrText>
      </w:r>
      <w:r>
        <w:fldChar w:fldCharType="separate"/>
      </w:r>
      <w:r>
        <w:rPr>
          <w:rStyle w:val="9"/>
          <w:rFonts w:hint="default" w:ascii="Times New Roman" w:hAnsi="Times New Roman" w:eastAsia="楷体_GB2312" w:cs="Times New Roman"/>
          <w:color w:val="0000FF"/>
          <w:sz w:val="28"/>
          <w:szCs w:val="28"/>
          <w:u w:val="single"/>
        </w:rPr>
        <w:t>（八）创新职业教育区域合作机制</w:t>
      </w:r>
      <w:r>
        <w:rPr>
          <w:rStyle w:val="9"/>
          <w:rFonts w:hint="default" w:ascii="Times New Roman" w:hAnsi="Times New Roman" w:cs="Times New Roman"/>
          <w:b/>
          <w:kern w:val="2"/>
          <w:sz w:val="28"/>
          <w:szCs w:val="28"/>
        </w:rPr>
        <w:tab/>
        <w:t>30</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"_Toc389470880" </w:instrText>
      </w:r>
      <w:r>
        <w:fldChar w:fldCharType="separate"/>
      </w:r>
      <w:r>
        <w:rPr>
          <w:rStyle w:val="9"/>
          <w:rFonts w:hint="default" w:ascii="Times New Roman" w:hAnsi="Times New Roman" w:eastAsia="楷体_GB2312" w:cs="Times New Roman"/>
          <w:color w:val="0000FF"/>
          <w:sz w:val="28"/>
          <w:szCs w:val="28"/>
          <w:u w:val="single"/>
        </w:rPr>
        <w:t>（九）建立职业教育服务社区机制</w:t>
      </w:r>
      <w:r>
        <w:rPr>
          <w:rStyle w:val="9"/>
          <w:rFonts w:hint="default" w:ascii="Times New Roman" w:hAnsi="Times New Roman" w:cs="Times New Roman"/>
          <w:b/>
          <w:kern w:val="2"/>
          <w:sz w:val="28"/>
          <w:szCs w:val="28"/>
        </w:rPr>
        <w:tab/>
        <w:t>31</w:t>
      </w:r>
      <w:r>
        <w:fldChar w:fldCharType="end"/>
      </w:r>
    </w:p>
    <w:p>
      <w:pPr>
        <w:pStyle w:val="4"/>
        <w:widowControl/>
        <w:spacing w:after="0" w:afterAutospacing="1" w:line="440" w:lineRule="exact"/>
        <w:ind w:left="0" w:right="0"/>
        <w:rPr>
          <w:rFonts w:hint="default" w:ascii="Times New Roman" w:hAnsi="Times New Roman" w:cs="Times New Roman"/>
          <w:b w:val="0"/>
          <w:caps w:val="0"/>
          <w:kern w:val="2"/>
          <w:sz w:val="28"/>
          <w:szCs w:val="28"/>
        </w:rPr>
      </w:pPr>
      <w:r>
        <w:fldChar w:fldCharType="begin"/>
      </w:r>
      <w:r>
        <w:instrText xml:space="preserve"> HYPERLINK "" \l "_Toc389470881" </w:instrText>
      </w:r>
      <w:r>
        <w:fldChar w:fldCharType="separate"/>
      </w:r>
      <w:r>
        <w:rPr>
          <w:rStyle w:val="9"/>
          <w:rFonts w:hint="default" w:ascii="Times New Roman" w:hAnsi="Times New Roman" w:cs="Times New Roman"/>
          <w:color w:val="0000FF"/>
          <w:sz w:val="28"/>
          <w:szCs w:val="28"/>
          <w:u w:val="single"/>
        </w:rPr>
        <w:t>六、保障实施</w:t>
      </w:r>
      <w:r>
        <w:rPr>
          <w:rStyle w:val="9"/>
          <w:rFonts w:hint="default" w:ascii="Times New Roman" w:hAnsi="Times New Roman" w:cs="Times New Roman"/>
          <w:b/>
          <w:caps/>
          <w:kern w:val="2"/>
          <w:sz w:val="28"/>
          <w:szCs w:val="28"/>
        </w:rPr>
        <w:tab/>
        <w:t>32</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"_Toc389470882" </w:instrText>
      </w:r>
      <w:r>
        <w:fldChar w:fldCharType="separate"/>
      </w:r>
      <w:r>
        <w:rPr>
          <w:rStyle w:val="9"/>
          <w:rFonts w:hint="default" w:ascii="Times New Roman" w:hAnsi="Times New Roman" w:eastAsia="楷体_GB2312" w:cs="Times New Roman"/>
          <w:color w:val="0000FF"/>
          <w:sz w:val="28"/>
          <w:szCs w:val="28"/>
          <w:u w:val="single"/>
        </w:rPr>
        <w:t>（一）加强组织领导</w:t>
      </w:r>
      <w:r>
        <w:rPr>
          <w:rStyle w:val="9"/>
          <w:rFonts w:hint="default" w:ascii="Times New Roman" w:hAnsi="Times New Roman" w:cs="Times New Roman"/>
          <w:b/>
          <w:kern w:val="2"/>
          <w:sz w:val="28"/>
          <w:szCs w:val="28"/>
        </w:rPr>
        <w:tab/>
        <w:t>32</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"_Toc389470883" </w:instrText>
      </w:r>
      <w:r>
        <w:fldChar w:fldCharType="separate"/>
      </w:r>
      <w:r>
        <w:rPr>
          <w:rStyle w:val="9"/>
          <w:rFonts w:hint="default" w:ascii="Times New Roman" w:hAnsi="Times New Roman" w:eastAsia="楷体_GB2312" w:cs="Times New Roman"/>
          <w:color w:val="0000FF"/>
          <w:sz w:val="28"/>
          <w:szCs w:val="28"/>
          <w:u w:val="single"/>
        </w:rPr>
        <w:t>（二）完善支持政策</w:t>
      </w:r>
      <w:r>
        <w:rPr>
          <w:rStyle w:val="9"/>
          <w:rFonts w:hint="default" w:ascii="Times New Roman" w:hAnsi="Times New Roman" w:cs="Times New Roman"/>
          <w:b/>
          <w:kern w:val="2"/>
          <w:sz w:val="28"/>
          <w:szCs w:val="28"/>
        </w:rPr>
        <w:tab/>
        <w:t>32</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"_Toc389470884" </w:instrText>
      </w:r>
      <w:r>
        <w:fldChar w:fldCharType="separate"/>
      </w:r>
      <w:r>
        <w:rPr>
          <w:rStyle w:val="9"/>
          <w:rFonts w:hint="default" w:ascii="Times New Roman" w:hAnsi="Times New Roman" w:eastAsia="楷体_GB2312" w:cs="Times New Roman"/>
          <w:color w:val="0000FF"/>
          <w:sz w:val="28"/>
          <w:szCs w:val="28"/>
          <w:u w:val="single"/>
        </w:rPr>
        <w:t>（三）营造良好氛围</w:t>
      </w:r>
      <w:r>
        <w:rPr>
          <w:rStyle w:val="9"/>
          <w:rFonts w:hint="default" w:ascii="Times New Roman" w:hAnsi="Times New Roman" w:cs="Times New Roman"/>
          <w:b/>
          <w:kern w:val="2"/>
          <w:sz w:val="28"/>
          <w:szCs w:val="28"/>
        </w:rPr>
        <w:tab/>
        <w:t>34</w:t>
      </w:r>
      <w:r>
        <w:fldChar w:fldCharType="end"/>
      </w:r>
    </w:p>
    <w:p>
      <w:pPr>
        <w:pStyle w:val="5"/>
        <w:widowControl/>
        <w:spacing w:after="0" w:afterAutospacing="1" w:line="440" w:lineRule="exact"/>
        <w:ind w:left="0" w:right="0"/>
        <w:rPr>
          <w:rFonts w:hint="default" w:ascii="Times New Roman" w:hAnsi="Times New Roman" w:cs="Times New Roman"/>
          <w:b w:val="0"/>
          <w:kern w:val="2"/>
          <w:sz w:val="28"/>
          <w:szCs w:val="28"/>
        </w:rPr>
      </w:pPr>
      <w:r>
        <w:fldChar w:fldCharType="begin"/>
      </w:r>
      <w:r>
        <w:instrText xml:space="preserve"> HYPERLINK "" \l "_Toc389470885" </w:instrText>
      </w:r>
      <w:r>
        <w:fldChar w:fldCharType="separate"/>
      </w:r>
      <w:r>
        <w:rPr>
          <w:rStyle w:val="9"/>
          <w:rFonts w:hint="default" w:ascii="Times New Roman" w:hAnsi="Times New Roman" w:eastAsia="楷体_GB2312" w:cs="Times New Roman"/>
          <w:color w:val="0000FF"/>
          <w:sz w:val="28"/>
          <w:szCs w:val="28"/>
          <w:u w:val="single"/>
        </w:rPr>
        <w:t>（四）加强监测评估</w:t>
      </w:r>
      <w:r>
        <w:rPr>
          <w:rStyle w:val="9"/>
          <w:rFonts w:hint="default" w:ascii="Times New Roman" w:hAnsi="Times New Roman" w:cs="Times New Roman"/>
          <w:b/>
          <w:kern w:val="2"/>
          <w:sz w:val="28"/>
          <w:szCs w:val="28"/>
        </w:rPr>
        <w:tab/>
        <w:t>35</w:t>
      </w:r>
      <w:r>
        <w:fldChar w:fldCharType="end"/>
      </w:r>
    </w:p>
    <w:p>
      <w:pPr>
        <w:rPr>
          <w:rFonts w:hint="default" w:ascii="Times New Roman" w:hAnsi="Times New Roman" w:eastAsia="黑体" w:cs="Times New Roman"/>
          <w:kern w:val="2"/>
          <w:sz w:val="36"/>
          <w:szCs w:val="36"/>
        </w:rPr>
        <w:sectPr>
          <w:pgSz w:w="11906" w:h="16838"/>
          <w:pgMar w:top="1440" w:right="1800" w:bottom="1440" w:left="1800" w:header="851" w:footer="992" w:gutter="0"/>
          <w:cols w:space="425" w:num="1"/>
          <w:docGrid w:type="lines" w:linePitch="312" w:charSpace="0"/>
        </w:sectPr>
      </w:pP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36"/>
          <w:szCs w:val="36"/>
        </w:rPr>
      </w:pPr>
      <w:r>
        <w:rPr>
          <w:rFonts w:hint="default" w:ascii="Times New Roman" w:hAnsi="Times New Roman" w:eastAsia="黑体" w:cs="Times New Roman"/>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36"/>
          <w:szCs w:val="36"/>
        </w:rPr>
      </w:pPr>
      <w:r>
        <w:rPr>
          <w:rFonts w:hint="default" w:ascii="Times New Roman" w:hAnsi="宋体" w:eastAsia="黑体" w:cs="Times New Roman"/>
          <w:kern w:val="2"/>
          <w:sz w:val="36"/>
          <w:szCs w:val="36"/>
          <w:lang w:val="en-US" w:eastAsia="zh-CN" w:bidi="ar"/>
        </w:rPr>
        <w:t>现代职业教育体系建设规划（</w:t>
      </w:r>
      <w:r>
        <w:rPr>
          <w:rFonts w:hint="default" w:ascii="Times New Roman" w:hAnsi="Times New Roman" w:eastAsia="黑体" w:cs="Times New Roman"/>
          <w:kern w:val="2"/>
          <w:sz w:val="36"/>
          <w:szCs w:val="36"/>
          <w:lang w:val="en-US" w:eastAsia="zh-CN" w:bidi="ar"/>
        </w:rPr>
        <w:t>2014-2020</w:t>
      </w:r>
      <w:r>
        <w:rPr>
          <w:rFonts w:hint="default" w:ascii="Times New Roman" w:hAnsi="宋体" w:eastAsia="黑体" w:cs="Times New Roman"/>
          <w:kern w:val="2"/>
          <w:sz w:val="36"/>
          <w:szCs w:val="36"/>
          <w:lang w:val="en-US" w:eastAsia="zh-CN" w:bidi="ar"/>
        </w:rPr>
        <w:t>年）</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kern w:val="2"/>
          <w:sz w:val="18"/>
          <w:szCs w:val="18"/>
        </w:rPr>
      </w:pPr>
      <w:r>
        <w:rPr>
          <w:rFonts w:hint="default" w:ascii="Times New Roman" w:hAnsi="Times New Roman" w:eastAsia="仿宋_GB2312" w:cs="Times New Roman"/>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10"/>
          <w:szCs w:val="10"/>
        </w:rPr>
      </w:pPr>
      <w:r>
        <w:rPr>
          <w:rFonts w:hint="default" w:ascii="Times New Roman" w:hAnsi="Times New Roman" w:eastAsia="黑体" w:cs="Times New Roman"/>
          <w:kern w:val="2"/>
          <w:sz w:val="10"/>
          <w:szCs w:val="10"/>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kern w:val="2"/>
          <w:sz w:val="10"/>
          <w:szCs w:val="10"/>
        </w:rPr>
      </w:pPr>
      <w:r>
        <w:rPr>
          <w:rFonts w:hint="default" w:ascii="Times New Roman" w:hAnsi="Times New Roman" w:eastAsia="黑体" w:cs="Times New Roman"/>
          <w:kern w:val="2"/>
          <w:sz w:val="10"/>
          <w:szCs w:val="10"/>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为全面贯彻党的十八大和十八届三中全会精神，依据《国民经济和社会发展第十二个五年规划纲要》、《国家中长期教育改革和发展规划纲要（2010-2020</w:t>
      </w:r>
      <w:r>
        <w:rPr>
          <w:rFonts w:hint="eastAsia" w:ascii="仿宋_GB2312" w:hAnsi="Times New Roman" w:eastAsia="仿宋_GB2312" w:cs="仿宋_GB2312"/>
          <w:kern w:val="2"/>
          <w:sz w:val="30"/>
          <w:szCs w:val="30"/>
          <w:lang w:val="en-US" w:eastAsia="zh-CN" w:bidi="ar"/>
        </w:rPr>
        <w:t>年）》、《国家中长期人才发展规划纲要（</w:t>
      </w:r>
      <w:r>
        <w:rPr>
          <w:rFonts w:hint="default" w:ascii="Times New Roman" w:hAnsi="Times New Roman" w:eastAsia="仿宋_GB2312" w:cs="Times New Roman"/>
          <w:kern w:val="2"/>
          <w:sz w:val="30"/>
          <w:szCs w:val="30"/>
          <w:lang w:val="en-US" w:eastAsia="zh-CN" w:bidi="ar"/>
        </w:rPr>
        <w:t>2010-2020</w:t>
      </w:r>
      <w:r>
        <w:rPr>
          <w:rFonts w:hint="eastAsia" w:ascii="仿宋_GB2312" w:hAnsi="Times New Roman" w:eastAsia="仿宋_GB2312" w:cs="仿宋_GB2312"/>
          <w:kern w:val="2"/>
          <w:sz w:val="30"/>
          <w:szCs w:val="30"/>
          <w:lang w:val="en-US" w:eastAsia="zh-CN" w:bidi="ar"/>
        </w:rPr>
        <w:t>年）》、《国务院关于加快发展现代职业教育的决定》和各产业、行业规划，特制定本规划。</w:t>
      </w:r>
    </w:p>
    <w:p>
      <w:pPr>
        <w:pStyle w:val="2"/>
        <w:widowControl/>
        <w:ind w:left="0" w:firstLine="753" w:firstLineChars="250"/>
        <w:rPr>
          <w:rFonts w:hint="default" w:ascii="Times New Roman" w:hAnsi="Times New Roman" w:eastAsia="黑体" w:cs="Times New Roman"/>
          <w:b/>
          <w:kern w:val="44"/>
          <w:sz w:val="30"/>
          <w:szCs w:val="30"/>
        </w:rPr>
      </w:pPr>
      <w:bookmarkStart w:id="0" w:name="_Toc317750229"/>
      <w:bookmarkEnd w:id="0"/>
      <w:bookmarkStart w:id="1" w:name="_Toc326133242"/>
      <w:bookmarkEnd w:id="1"/>
      <w:bookmarkStart w:id="2" w:name="_Toc389470848"/>
      <w:r>
        <w:rPr>
          <w:rFonts w:hint="default" w:ascii="Times New Roman" w:hAnsi="Times New Roman" w:eastAsia="黑体" w:cs="Times New Roman"/>
          <w:b/>
          <w:kern w:val="44"/>
          <w:sz w:val="30"/>
          <w:szCs w:val="30"/>
        </w:rPr>
        <w:t>一、规划背景</w:t>
      </w:r>
      <w:bookmarkEnd w:id="2"/>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bookmarkStart w:id="3" w:name="_Toc317750230"/>
      <w:bookmarkEnd w:id="3"/>
      <w:r>
        <w:rPr>
          <w:rFonts w:hint="default" w:ascii="Times New Roman" w:hAnsi="Times New Roman" w:eastAsia="仿宋_GB2312" w:cs="Times New Roman"/>
          <w:kern w:val="2"/>
          <w:sz w:val="30"/>
          <w:szCs w:val="30"/>
          <w:lang w:val="en-US" w:eastAsia="zh-CN" w:bidi="ar"/>
        </w:rPr>
        <w:t>加快发展现代职业教育是党中央、国务院作出的重大战略决策。现代职业教育是服务经济社会发展需要，面向经济社会发展和生产服务一线，培养高素质劳动者和技术技能人才并促进全体劳动者可持续职业发展的教育类型。建立现代职业教育体系，是促进现代职业教育服务转方式、调结构、促改革、保就业、惠民生和工业化、信息化、城镇化、农业现代化同步发展的制度性安排，对打造中国经济升级版，创造更大人才红利，促进就业和改善民生，加强社会建设和文化建设，满足人民群众生产生活多样化的需求，实现中华民族伟大复兴的中国梦都具有重要意义。</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随着新型工业化的推进和科学技术的发展，现代职业教育体系越来越成为国家竞争力的重要支撑。特别是国际金融危机以来，美、欧、日、俄、印等国家和地区都将完善现代职业教育体系作为增强国家竞争力特别是发展实体经济的战略选择，力求在新一轮国际竞争中建立巩固的、可持续的人才和技术竞争优势。</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 xml:space="preserve">改革开放以来，我国职业教育改革发展取得了巨大成就，中高等职业教育快速发展，职业院校基础能力显著提高，产教结合、校企合作不断深入，行业企业参与不断加强，中高职衔接呈现良好势头。但是，必须清醒地看到，我国职业教育仍然存在着社会吸引力不强、发展理念相对落后、行业企业参与不足、人才培养模式相对陈旧、基础能力相对薄弱、层次结构不合理、基本制度不健全、国际化程度不高等诸多问题，并集中体现在职业教育体系不适应加快转变经济发展方式的要求上。抓住发展机遇，站在经济、社会和教育发展全局的高度，以战略眼光、现代理念和国际视野建设现代职业教育体系，加快发展现代职业教育，是促进教育公平、基本实现教育现代化和建设人力资源强国的必然选择。 </w:t>
      </w:r>
    </w:p>
    <w:p>
      <w:pPr>
        <w:pStyle w:val="2"/>
        <w:widowControl/>
        <w:ind w:left="0" w:firstLine="753" w:firstLineChars="250"/>
        <w:rPr>
          <w:rFonts w:hint="default" w:ascii="Times New Roman" w:hAnsi="Times New Roman" w:eastAsia="楷体_GB2312" w:cs="Times New Roman"/>
          <w:b/>
          <w:kern w:val="44"/>
          <w:sz w:val="30"/>
          <w:szCs w:val="30"/>
        </w:rPr>
      </w:pPr>
      <w:bookmarkStart w:id="4" w:name="_Toc326133243"/>
      <w:bookmarkEnd w:id="4"/>
      <w:bookmarkStart w:id="5" w:name="_Toc389470849"/>
      <w:r>
        <w:rPr>
          <w:rFonts w:hint="default" w:ascii="Times New Roman" w:hAnsi="Times New Roman" w:eastAsia="黑体" w:cs="Times New Roman"/>
          <w:b/>
          <w:kern w:val="44"/>
          <w:sz w:val="30"/>
          <w:szCs w:val="30"/>
        </w:rPr>
        <w:t>二、</w:t>
      </w:r>
      <w:bookmarkEnd w:id="5"/>
      <w:r>
        <w:rPr>
          <w:rFonts w:hint="default" w:ascii="Times New Roman" w:hAnsi="Times New Roman" w:eastAsia="黑体" w:cs="Times New Roman"/>
          <w:b/>
          <w:kern w:val="44"/>
          <w:sz w:val="30"/>
          <w:szCs w:val="30"/>
        </w:rPr>
        <w:t>总体要求</w:t>
      </w:r>
    </w:p>
    <w:p>
      <w:pPr>
        <w:pStyle w:val="3"/>
        <w:widowControl/>
        <w:ind w:left="0" w:firstLine="600" w:firstLineChars="200"/>
        <w:rPr>
          <w:rFonts w:hint="default" w:ascii="Times New Roman" w:hAnsi="Times New Roman" w:eastAsia="楷体_GB2312" w:cs="Times New Roman"/>
          <w:b/>
          <w:kern w:val="2"/>
          <w:sz w:val="30"/>
          <w:szCs w:val="30"/>
        </w:rPr>
      </w:pPr>
      <w:bookmarkStart w:id="6" w:name="_Toc356461509"/>
      <w:bookmarkEnd w:id="6"/>
      <w:bookmarkStart w:id="7" w:name="_Toc389470850"/>
      <w:bookmarkEnd w:id="7"/>
      <w:bookmarkStart w:id="8" w:name="_Toc316463709"/>
      <w:bookmarkEnd w:id="8"/>
      <w:bookmarkStart w:id="9" w:name="_Toc316463997"/>
      <w:bookmarkEnd w:id="9"/>
      <w:bookmarkStart w:id="10" w:name="_Toc317750231"/>
      <w:r>
        <w:rPr>
          <w:rFonts w:hint="default" w:ascii="Times New Roman" w:hAnsi="Times New Roman" w:eastAsia="楷体_GB2312" w:cs="Times New Roman"/>
          <w:b w:val="0"/>
          <w:kern w:val="2"/>
          <w:sz w:val="30"/>
          <w:szCs w:val="30"/>
        </w:rPr>
        <w:t>（一）指导思想。</w:t>
      </w:r>
      <w:bookmarkEnd w:id="10"/>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以邓小平理论、“</w:t>
      </w:r>
      <w:r>
        <w:rPr>
          <w:rFonts w:hint="eastAsia" w:ascii="仿宋_GB2312" w:hAnsi="Times New Roman" w:eastAsia="仿宋_GB2312" w:cs="仿宋_GB2312"/>
          <w:kern w:val="2"/>
          <w:sz w:val="30"/>
          <w:szCs w:val="30"/>
          <w:lang w:val="en-US" w:eastAsia="zh-CN" w:bidi="ar"/>
        </w:rPr>
        <w:t>三个代表</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重要思想、科学发展观为指导，按照</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五位一体</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社会主义现代化建设总体布局和加快经济发展方式转变的总体要求，坚持以立德树人为根本，以服务发展为宗旨，以促进就业为导向，深化体制机制改革，统筹发挥好政府和市场的作用，系统设计现代职业教育的体系框架、结构布局和运行机制，推动教育制度创新和结构调整，培养数以亿计的工程师、高级技工和高素质职业人才，传承技术技能，促进就业创业，为建设人力资源强国和创新型国家提供人才支撑。</w:t>
      </w:r>
    </w:p>
    <w:p>
      <w:pPr>
        <w:pStyle w:val="3"/>
        <w:widowControl/>
        <w:ind w:left="0" w:firstLine="600" w:firstLineChars="200"/>
        <w:rPr>
          <w:rFonts w:hint="default" w:ascii="Times New Roman" w:hAnsi="Times New Roman" w:eastAsia="楷体_GB2312" w:cs="Times New Roman"/>
          <w:b/>
          <w:kern w:val="2"/>
          <w:sz w:val="30"/>
          <w:szCs w:val="30"/>
        </w:rPr>
      </w:pPr>
      <w:bookmarkStart w:id="11" w:name="_Toc356461511"/>
      <w:bookmarkEnd w:id="11"/>
      <w:bookmarkStart w:id="12" w:name="_Toc389470851"/>
      <w:r>
        <w:rPr>
          <w:rFonts w:hint="default" w:ascii="Times New Roman" w:hAnsi="Times New Roman" w:eastAsia="楷体_GB2312" w:cs="Times New Roman"/>
          <w:b w:val="0"/>
          <w:kern w:val="2"/>
          <w:sz w:val="30"/>
          <w:szCs w:val="30"/>
        </w:rPr>
        <w:t>（二）建设目标。</w:t>
      </w:r>
      <w:bookmarkEnd w:id="12"/>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总体目标是：牢固确立职业教育在国家人才培养体系中的重要位置，到2020</w:t>
      </w:r>
      <w:r>
        <w:rPr>
          <w:rFonts w:hint="eastAsia" w:ascii="仿宋_GB2312" w:hAnsi="Times New Roman" w:eastAsia="仿宋_GB2312" w:cs="仿宋_GB2312"/>
          <w:kern w:val="2"/>
          <w:sz w:val="30"/>
          <w:szCs w:val="30"/>
          <w:lang w:val="en-US" w:eastAsia="zh-CN" w:bidi="ar"/>
        </w:rPr>
        <w:t>年，形成适应发展需求、产教深度融合、中职高职衔接、职业教育与普通教育相互沟通，体现终身教育理念，具有中国特色、世界水平的现代职业教育体系，建立人才培养立交桥，形成合理教育结构，推动现代教育体系基本建立、教育现代化基本实现。具体分两步走：</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——2015</w:t>
      </w:r>
      <w:r>
        <w:rPr>
          <w:rFonts w:hint="eastAsia" w:ascii="仿宋_GB2312" w:hAnsi="Times New Roman" w:eastAsia="仿宋_GB2312" w:cs="仿宋_GB2312"/>
          <w:kern w:val="2"/>
          <w:sz w:val="30"/>
          <w:szCs w:val="30"/>
          <w:lang w:val="en-US" w:eastAsia="zh-CN" w:bidi="ar"/>
        </w:rPr>
        <w:t>年，初步形成现代职业教育体系框架。现代职业教育的理念得到广泛宣传，职业教育体系建设的重大政策更加完备，人才培养层次更加完善，专业结构更加符合市场需求，中高等职业教育全面衔接，产教融合、校企合作的体制基本建立，现代职业院校制度基本形成，职业教育服务国家发展战略的能力进一步提升，职业教育吸引力进一步增强。</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——2020</w:t>
      </w:r>
      <w:r>
        <w:rPr>
          <w:rFonts w:hint="eastAsia" w:ascii="仿宋_GB2312" w:hAnsi="Times New Roman" w:eastAsia="仿宋_GB2312" w:cs="仿宋_GB2312"/>
          <w:kern w:val="2"/>
          <w:sz w:val="30"/>
          <w:szCs w:val="30"/>
          <w:lang w:val="en-US" w:eastAsia="zh-CN" w:bidi="ar"/>
        </w:rPr>
        <w:t>年，基本建成中国特色现代职业教育体系。现代职业教育理念深入人心，行业企业和职业院校（中等职业学校和高等职业学校的统称，下同）共同推进的技术技能积累创新机制基本形成，职业教育体系的层次、结构更加科学，院校布局和专业设置适应经济社会需求，现代职业教育的基本制度、运行机制、重大政策更加完善，社会力量广泛参与，建成一批高水平职业院校，各类职业人才培养水平大幅提升。</w:t>
      </w:r>
    </w:p>
    <w:tbl>
      <w:tblPr>
        <w:tblStyle w:val="10"/>
        <w:tblW w:w="8751" w:type="dxa"/>
        <w:jc w:val="center"/>
        <w:tblInd w:w="2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790"/>
        <w:gridCol w:w="1342"/>
        <w:gridCol w:w="1209"/>
        <w:gridCol w:w="1276"/>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662" w:hRule="atLeast"/>
          <w:jc w:val="center"/>
        </w:trPr>
        <w:tc>
          <w:tcPr>
            <w:tcW w:w="8751"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firstLine="562"/>
              <w:jc w:val="center"/>
              <w:rPr>
                <w:rFonts w:hint="default" w:ascii="Times New Roman" w:hAnsi="Times New Roman" w:cs="Times New Roman"/>
                <w:kern w:val="2"/>
                <w:sz w:val="21"/>
                <w:szCs w:val="21"/>
                <w:bdr w:val="none" w:color="auto" w:sz="0" w:space="0"/>
              </w:rPr>
            </w:pPr>
            <w:r>
              <w:rPr>
                <w:rFonts w:hint="default" w:ascii="Times New Roman" w:hAnsi="Times New Roman" w:eastAsia="仿宋_GB2312" w:cs="Times New Roman"/>
                <w:b/>
                <w:kern w:val="2"/>
                <w:sz w:val="28"/>
                <w:szCs w:val="28"/>
                <w:bdr w:val="none" w:color="auto" w:sz="0" w:space="0"/>
                <w:lang w:val="en-US" w:eastAsia="zh-CN" w:bidi="ar"/>
              </w:rPr>
              <w:t xml:space="preserve">专栏1 </w:t>
            </w:r>
            <w:r>
              <w:rPr>
                <w:rFonts w:hint="eastAsia" w:ascii="仿宋_GB2312" w:hAnsi="Times New Roman" w:eastAsia="仿宋_GB2312" w:cs="仿宋_GB2312"/>
                <w:b/>
                <w:kern w:val="2"/>
                <w:sz w:val="28"/>
                <w:szCs w:val="28"/>
                <w:bdr w:val="none" w:color="auto" w:sz="0" w:space="0"/>
                <w:lang w:val="en-US" w:eastAsia="zh-CN" w:bidi="ar"/>
              </w:rPr>
              <w:t>现代职业教育体系建设量化目标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662" w:hRule="atLeast"/>
          <w:jc w:val="center"/>
        </w:trPr>
        <w:tc>
          <w:tcPr>
            <w:tcW w:w="37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
                <w:color w:val="000000"/>
                <w:kern w:val="0"/>
                <w:sz w:val="24"/>
                <w:szCs w:val="24"/>
                <w:bdr w:val="none" w:color="auto" w:sz="0" w:space="0"/>
              </w:rPr>
            </w:pPr>
            <w:r>
              <w:rPr>
                <w:rFonts w:hint="default" w:ascii="Times New Roman" w:hAnsi="Times New Roman" w:eastAsia="仿宋_GB2312" w:cs="Times New Roman"/>
                <w:b/>
                <w:color w:val="000000"/>
                <w:kern w:val="0"/>
                <w:sz w:val="24"/>
                <w:szCs w:val="24"/>
                <w:bdr w:val="none" w:color="auto" w:sz="0" w:space="0"/>
                <w:lang w:val="en-US" w:eastAsia="zh-CN" w:bidi="ar"/>
              </w:rPr>
              <w:t>目标</w:t>
            </w:r>
          </w:p>
        </w:tc>
        <w:tc>
          <w:tcPr>
            <w:tcW w:w="1342"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
                <w:color w:val="000000"/>
                <w:kern w:val="0"/>
                <w:sz w:val="24"/>
                <w:szCs w:val="24"/>
                <w:bdr w:val="none" w:color="auto" w:sz="0" w:space="0"/>
              </w:rPr>
            </w:pPr>
            <w:r>
              <w:rPr>
                <w:rFonts w:hint="default" w:ascii="Times New Roman" w:hAnsi="Times New Roman" w:eastAsia="仿宋_GB2312" w:cs="Times New Roman"/>
                <w:b/>
                <w:color w:val="000000"/>
                <w:kern w:val="0"/>
                <w:sz w:val="24"/>
                <w:szCs w:val="24"/>
                <w:bdr w:val="none" w:color="auto" w:sz="0" w:space="0"/>
                <w:lang w:val="en-US" w:eastAsia="zh-CN" w:bidi="ar"/>
              </w:rPr>
              <w:t>单位</w:t>
            </w:r>
          </w:p>
        </w:tc>
        <w:tc>
          <w:tcPr>
            <w:tcW w:w="120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
                <w:color w:val="000000"/>
                <w:kern w:val="0"/>
                <w:sz w:val="24"/>
                <w:szCs w:val="24"/>
                <w:bdr w:val="none" w:color="auto" w:sz="0" w:space="0"/>
              </w:rPr>
            </w:pPr>
            <w:r>
              <w:rPr>
                <w:rFonts w:hint="default" w:ascii="Times New Roman" w:hAnsi="Times New Roman" w:eastAsia="仿宋_GB2312" w:cs="Times New Roman"/>
                <w:b/>
                <w:color w:val="000000"/>
                <w:kern w:val="0"/>
                <w:sz w:val="24"/>
                <w:szCs w:val="24"/>
                <w:bdr w:val="none" w:color="auto" w:sz="0" w:space="0"/>
                <w:lang w:val="en-US" w:eastAsia="zh-CN" w:bidi="ar"/>
              </w:rPr>
              <w:t>2012</w:t>
            </w:r>
            <w:r>
              <w:rPr>
                <w:rFonts w:hint="eastAsia" w:ascii="仿宋_GB2312" w:hAnsi="Times New Roman" w:eastAsia="仿宋_GB2312" w:cs="仿宋_GB2312"/>
                <w:b/>
                <w:color w:val="000000"/>
                <w:kern w:val="0"/>
                <w:sz w:val="24"/>
                <w:szCs w:val="24"/>
                <w:bdr w:val="none" w:color="auto" w:sz="0" w:space="0"/>
                <w:lang w:val="en-US" w:eastAsia="zh-CN" w:bidi="ar"/>
              </w:rPr>
              <w:t>年</w:t>
            </w:r>
          </w:p>
        </w:tc>
        <w:tc>
          <w:tcPr>
            <w:tcW w:w="12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
                <w:color w:val="000000"/>
                <w:kern w:val="0"/>
                <w:sz w:val="24"/>
                <w:szCs w:val="24"/>
                <w:bdr w:val="none" w:color="auto" w:sz="0" w:space="0"/>
              </w:rPr>
            </w:pPr>
            <w:r>
              <w:rPr>
                <w:rFonts w:hint="default" w:ascii="Times New Roman" w:hAnsi="Times New Roman" w:eastAsia="仿宋_GB2312" w:cs="Times New Roman"/>
                <w:b/>
                <w:color w:val="000000"/>
                <w:kern w:val="0"/>
                <w:sz w:val="24"/>
                <w:szCs w:val="24"/>
                <w:bdr w:val="none" w:color="auto" w:sz="0" w:space="0"/>
                <w:lang w:val="en-US" w:eastAsia="zh-CN" w:bidi="ar"/>
              </w:rPr>
              <w:t>2015</w:t>
            </w:r>
            <w:r>
              <w:rPr>
                <w:rFonts w:hint="eastAsia" w:ascii="仿宋_GB2312" w:hAnsi="Times New Roman" w:eastAsia="仿宋_GB2312" w:cs="仿宋_GB2312"/>
                <w:b/>
                <w:color w:val="000000"/>
                <w:kern w:val="0"/>
                <w:sz w:val="24"/>
                <w:szCs w:val="24"/>
                <w:bdr w:val="none" w:color="auto" w:sz="0" w:space="0"/>
                <w:lang w:val="en-US" w:eastAsia="zh-CN" w:bidi="ar"/>
              </w:rPr>
              <w:t>年</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
                <w:color w:val="000000"/>
                <w:kern w:val="0"/>
                <w:sz w:val="24"/>
                <w:szCs w:val="24"/>
                <w:bdr w:val="none" w:color="auto" w:sz="0" w:space="0"/>
              </w:rPr>
            </w:pPr>
            <w:r>
              <w:rPr>
                <w:rFonts w:hint="default" w:ascii="Times New Roman" w:hAnsi="Times New Roman" w:eastAsia="仿宋_GB2312" w:cs="Times New Roman"/>
                <w:b/>
                <w:color w:val="000000"/>
                <w:kern w:val="0"/>
                <w:sz w:val="24"/>
                <w:szCs w:val="24"/>
                <w:bdr w:val="none" w:color="auto" w:sz="0" w:space="0"/>
                <w:lang w:val="en-US" w:eastAsia="zh-CN" w:bidi="ar"/>
              </w:rPr>
              <w:t>2020</w:t>
            </w:r>
            <w:r>
              <w:rPr>
                <w:rFonts w:hint="eastAsia" w:ascii="仿宋_GB2312" w:hAnsi="Times New Roman" w:eastAsia="仿宋_GB2312" w:cs="仿宋_GB2312"/>
                <w:b/>
                <w:color w:val="000000"/>
                <w:kern w:val="0"/>
                <w:sz w:val="24"/>
                <w:szCs w:val="24"/>
                <w:bdr w:val="none" w:color="auto" w:sz="0" w:space="0"/>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662" w:hRule="atLeast"/>
          <w:jc w:val="center"/>
        </w:trPr>
        <w:tc>
          <w:tcPr>
            <w:tcW w:w="37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中等职业教育在校生数</w:t>
            </w:r>
          </w:p>
        </w:tc>
        <w:tc>
          <w:tcPr>
            <w:tcW w:w="1342"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万人</w:t>
            </w:r>
          </w:p>
        </w:tc>
        <w:tc>
          <w:tcPr>
            <w:tcW w:w="120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kern w:val="0"/>
                <w:sz w:val="24"/>
                <w:szCs w:val="24"/>
                <w:bdr w:val="none" w:color="auto" w:sz="0" w:space="0"/>
              </w:rPr>
            </w:pPr>
            <w:r>
              <w:rPr>
                <w:rFonts w:hint="default" w:ascii="Times New Roman" w:hAnsi="Times New Roman" w:eastAsia="仿宋_GB2312" w:cs="Times New Roman"/>
                <w:kern w:val="0"/>
                <w:sz w:val="24"/>
                <w:szCs w:val="24"/>
                <w:bdr w:val="none" w:color="auto" w:sz="0" w:space="0"/>
                <w:lang w:val="en-US" w:eastAsia="zh-CN" w:bidi="ar"/>
              </w:rPr>
              <w:t>2114</w:t>
            </w:r>
          </w:p>
        </w:tc>
        <w:tc>
          <w:tcPr>
            <w:tcW w:w="12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2250</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2350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662" w:hRule="atLeast"/>
          <w:jc w:val="center"/>
        </w:trPr>
        <w:tc>
          <w:tcPr>
            <w:tcW w:w="37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专科层次职业教育在校生数</w:t>
            </w:r>
          </w:p>
        </w:tc>
        <w:tc>
          <w:tcPr>
            <w:tcW w:w="1342"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万人</w:t>
            </w:r>
          </w:p>
        </w:tc>
        <w:tc>
          <w:tcPr>
            <w:tcW w:w="120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kern w:val="0"/>
                <w:sz w:val="24"/>
                <w:szCs w:val="24"/>
                <w:bdr w:val="none" w:color="auto" w:sz="0" w:space="0"/>
              </w:rPr>
            </w:pPr>
            <w:r>
              <w:rPr>
                <w:rFonts w:hint="default" w:ascii="Times New Roman" w:hAnsi="Times New Roman" w:eastAsia="仿宋_GB2312" w:cs="Times New Roman"/>
                <w:kern w:val="0"/>
                <w:sz w:val="24"/>
                <w:szCs w:val="24"/>
                <w:bdr w:val="none" w:color="auto" w:sz="0" w:space="0"/>
                <w:lang w:val="en-US" w:eastAsia="zh-CN" w:bidi="ar"/>
              </w:rPr>
              <w:t>964</w:t>
            </w:r>
          </w:p>
        </w:tc>
        <w:tc>
          <w:tcPr>
            <w:tcW w:w="12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1390</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662" w:hRule="atLeast"/>
          <w:jc w:val="center"/>
        </w:trPr>
        <w:tc>
          <w:tcPr>
            <w:tcW w:w="37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继续教育参与人次</w:t>
            </w:r>
          </w:p>
        </w:tc>
        <w:tc>
          <w:tcPr>
            <w:tcW w:w="1342"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万人次</w:t>
            </w:r>
          </w:p>
        </w:tc>
        <w:tc>
          <w:tcPr>
            <w:tcW w:w="120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rFonts w:hint="default" w:ascii="Times New Roman" w:hAnsi="Times New Roman" w:eastAsia="仿宋_GB2312" w:cs="Times New Roman"/>
                <w:kern w:val="0"/>
                <w:sz w:val="24"/>
                <w:szCs w:val="24"/>
                <w:bdr w:val="none" w:color="auto" w:sz="0" w:space="0"/>
              </w:rPr>
            </w:pPr>
            <w:r>
              <w:rPr>
                <w:rFonts w:hint="default" w:ascii="Times New Roman" w:hAnsi="Times New Roman" w:eastAsia="仿宋_GB2312" w:cs="Times New Roman"/>
                <w:kern w:val="0"/>
                <w:sz w:val="24"/>
                <w:szCs w:val="24"/>
                <w:bdr w:val="none" w:color="auto" w:sz="0" w:space="0"/>
                <w:lang w:val="en-US" w:eastAsia="zh-CN" w:bidi="ar"/>
              </w:rPr>
              <w:t>21000</w:t>
            </w:r>
          </w:p>
        </w:tc>
        <w:tc>
          <w:tcPr>
            <w:tcW w:w="12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29000</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662" w:hRule="atLeast"/>
          <w:jc w:val="center"/>
        </w:trPr>
        <w:tc>
          <w:tcPr>
            <w:tcW w:w="37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职业院校职业教育集团参与率</w:t>
            </w:r>
          </w:p>
        </w:tc>
        <w:tc>
          <w:tcPr>
            <w:tcW w:w="1342"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w:t>
            </w:r>
          </w:p>
        </w:tc>
        <w:tc>
          <w:tcPr>
            <w:tcW w:w="120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75</w:t>
            </w:r>
          </w:p>
        </w:tc>
        <w:tc>
          <w:tcPr>
            <w:tcW w:w="12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85</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662" w:hRule="atLeast"/>
          <w:jc w:val="center"/>
        </w:trPr>
        <w:tc>
          <w:tcPr>
            <w:tcW w:w="37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高职院校招收有实际工作经验学习者比例</w:t>
            </w:r>
          </w:p>
        </w:tc>
        <w:tc>
          <w:tcPr>
            <w:tcW w:w="1342"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w:t>
            </w:r>
          </w:p>
        </w:tc>
        <w:tc>
          <w:tcPr>
            <w:tcW w:w="120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FF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5</w:t>
            </w:r>
          </w:p>
        </w:tc>
        <w:tc>
          <w:tcPr>
            <w:tcW w:w="12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10</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936" w:hRule="atLeast"/>
          <w:jc w:val="center"/>
        </w:trPr>
        <w:tc>
          <w:tcPr>
            <w:tcW w:w="37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职业院校培训在校生（折合数）相当于学历职业教育在校生的比例</w:t>
            </w:r>
          </w:p>
        </w:tc>
        <w:tc>
          <w:tcPr>
            <w:tcW w:w="1342"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w:t>
            </w:r>
          </w:p>
        </w:tc>
        <w:tc>
          <w:tcPr>
            <w:tcW w:w="120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kern w:val="0"/>
                <w:sz w:val="24"/>
                <w:szCs w:val="24"/>
                <w:bdr w:val="none" w:color="auto" w:sz="0" w:space="0"/>
              </w:rPr>
            </w:pPr>
            <w:r>
              <w:rPr>
                <w:rFonts w:hint="default" w:ascii="Times New Roman" w:hAnsi="Times New Roman" w:eastAsia="仿宋_GB2312" w:cs="Times New Roman"/>
                <w:kern w:val="0"/>
                <w:sz w:val="24"/>
                <w:szCs w:val="24"/>
                <w:bdr w:val="none" w:color="auto" w:sz="0" w:space="0"/>
                <w:lang w:val="en-US" w:eastAsia="zh-CN" w:bidi="ar"/>
              </w:rPr>
              <w:t>14</w:t>
            </w:r>
          </w:p>
        </w:tc>
        <w:tc>
          <w:tcPr>
            <w:tcW w:w="12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20</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662" w:hRule="atLeast"/>
          <w:jc w:val="center"/>
        </w:trPr>
        <w:tc>
          <w:tcPr>
            <w:tcW w:w="37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实训基地骨干专业覆盖率</w:t>
            </w:r>
          </w:p>
        </w:tc>
        <w:tc>
          <w:tcPr>
            <w:tcW w:w="1342"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w:t>
            </w:r>
          </w:p>
        </w:tc>
        <w:tc>
          <w:tcPr>
            <w:tcW w:w="120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FF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35</w:t>
            </w:r>
          </w:p>
        </w:tc>
        <w:tc>
          <w:tcPr>
            <w:tcW w:w="12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50</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662" w:hRule="atLeast"/>
          <w:jc w:val="center"/>
        </w:trPr>
        <w:tc>
          <w:tcPr>
            <w:tcW w:w="37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有实践经验的专兼职教师占专业教师总数的比例</w:t>
            </w:r>
          </w:p>
        </w:tc>
        <w:tc>
          <w:tcPr>
            <w:tcW w:w="1342"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w:t>
            </w:r>
          </w:p>
        </w:tc>
        <w:tc>
          <w:tcPr>
            <w:tcW w:w="120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kern w:val="0"/>
                <w:sz w:val="24"/>
                <w:szCs w:val="24"/>
                <w:bdr w:val="none" w:color="auto" w:sz="0" w:space="0"/>
              </w:rPr>
            </w:pPr>
            <w:r>
              <w:rPr>
                <w:rFonts w:hint="default" w:ascii="Times New Roman" w:hAnsi="Times New Roman" w:eastAsia="仿宋_GB2312" w:cs="Times New Roman"/>
                <w:kern w:val="0"/>
                <w:sz w:val="24"/>
                <w:szCs w:val="24"/>
                <w:bdr w:val="none" w:color="auto" w:sz="0" w:space="0"/>
                <w:lang w:val="en-US" w:eastAsia="zh-CN" w:bidi="ar"/>
              </w:rPr>
              <w:t>35</w:t>
            </w:r>
          </w:p>
        </w:tc>
        <w:tc>
          <w:tcPr>
            <w:tcW w:w="12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45</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662" w:hRule="atLeast"/>
          <w:jc w:val="center"/>
        </w:trPr>
        <w:tc>
          <w:tcPr>
            <w:tcW w:w="37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职业院校校园网覆盖率</w:t>
            </w:r>
          </w:p>
        </w:tc>
        <w:tc>
          <w:tcPr>
            <w:tcW w:w="1342"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w:t>
            </w:r>
          </w:p>
        </w:tc>
        <w:tc>
          <w:tcPr>
            <w:tcW w:w="120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FF0000"/>
                <w:kern w:val="0"/>
                <w:sz w:val="18"/>
                <w:szCs w:val="18"/>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90</w:t>
            </w:r>
          </w:p>
        </w:tc>
        <w:tc>
          <w:tcPr>
            <w:tcW w:w="12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100</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662" w:hRule="atLeast"/>
          <w:jc w:val="center"/>
        </w:trPr>
        <w:tc>
          <w:tcPr>
            <w:tcW w:w="37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数字化资源专业覆盖率</w:t>
            </w:r>
          </w:p>
        </w:tc>
        <w:tc>
          <w:tcPr>
            <w:tcW w:w="1342"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w:t>
            </w:r>
          </w:p>
        </w:tc>
        <w:tc>
          <w:tcPr>
            <w:tcW w:w="120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70</w:t>
            </w:r>
          </w:p>
        </w:tc>
        <w:tc>
          <w:tcPr>
            <w:tcW w:w="12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80</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100</w:t>
            </w:r>
          </w:p>
        </w:tc>
      </w:tr>
    </w:tbl>
    <w:p>
      <w:pPr>
        <w:pStyle w:val="3"/>
        <w:widowControl/>
        <w:ind w:left="0" w:firstLine="588" w:firstLineChars="196"/>
        <w:rPr>
          <w:rFonts w:hint="default" w:ascii="Times New Roman" w:hAnsi="Times New Roman" w:eastAsia="楷体_GB2312" w:cs="Times New Roman"/>
          <w:b w:val="0"/>
          <w:kern w:val="2"/>
          <w:sz w:val="30"/>
          <w:szCs w:val="30"/>
        </w:rPr>
      </w:pPr>
      <w:bookmarkStart w:id="13" w:name="_Toc356461512"/>
      <w:bookmarkEnd w:id="13"/>
      <w:bookmarkStart w:id="14" w:name="_Toc389470852"/>
      <w:r>
        <w:rPr>
          <w:rFonts w:hint="default" w:ascii="Times New Roman" w:hAnsi="Times New Roman" w:eastAsia="楷体_GB2312" w:cs="Times New Roman"/>
          <w:b w:val="0"/>
          <w:kern w:val="2"/>
          <w:sz w:val="30"/>
          <w:szCs w:val="30"/>
        </w:rPr>
        <w:t>（三）基本原则。</w:t>
      </w:r>
      <w:bookmarkEnd w:id="14"/>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坚持政府统筹规划。以提高质量、促进就业、服务发展为导向，发挥政府在职业教育体系建设中的引导、规范和督导作用，深化重要领域和关键环节的改革。中央政府加强职业教育体系的顶层设计，完善体系建设、管理、运行的法律法规和基本制度。扩大省级政府统筹权，鼓励各地根据区域经济社会发展需要，探索体系建设模式，推动职业教育多样化、多形式发展。</w:t>
      </w:r>
      <w:r>
        <w:rPr>
          <w:rFonts w:hint="default" w:ascii="Times New Roman" w:hAnsi="Times New Roman" w:eastAsia="仿宋_GB2312" w:cs="Times New Roman"/>
          <w:kern w:val="2"/>
          <w:sz w:val="30"/>
          <w:szCs w:val="30"/>
          <w:lang w:val="en-US" w:eastAsia="zh-CN" w:bidi="ar"/>
        </w:rPr>
        <w:br w:type="textWrapping"/>
      </w:r>
      <w:r>
        <w:rPr>
          <w:rFonts w:hint="default" w:ascii="Times New Roman" w:hAnsi="Times New Roman" w:eastAsia="仿宋_GB2312" w:cs="Times New Roman"/>
          <w:kern w:val="2"/>
          <w:sz w:val="30"/>
          <w:szCs w:val="30"/>
          <w:lang w:val="en-US" w:eastAsia="zh-CN" w:bidi="ar"/>
        </w:rPr>
        <w:t xml:space="preserve">    坚持市场需求导向。充分发挥市场在资源配置中的决定性作用，扩大职业院校办学自主权，推动学校面向社会需求办学，增强职业教育体系适应市场经济的能力。充分调动社会力量，吸引更多资源向职业教育汇聚，促进政府办学、企业办学和社会办学共同发展。进一步发挥行业、企业、学校和社会各方面的积极作用，激发职业教育办学活力，最大限度释放改革红利。 </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坚持产教融合发展。走开放融合、改革创新的中国特色现代职业教育体系建设道路，推动职业教育融入经济社会发展和改革开放的全过程，推动专业设置与产业需求、课程内容与职业标准、教学过程与生产过程对接，实现职业教育与技术进步和生产方式变革以及社会公共服务相适应，促进经济提质增效升级。</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坚持各级各类教育协调发展。统筹职业教育和普通教育、继续教育发展，建立学分积累和转换制度，畅通人才成长通道。优化职业教育体系结构和空间布局，形成普通教育与职业教育相互沟通、全日制与非全日制协调发展，学历教育与非学历培训沟通衔接，公办民办共同发展的现代职业教育新格局。</w:t>
      </w:r>
    </w:p>
    <w:p>
      <w:pPr>
        <w:pStyle w:val="2"/>
        <w:widowControl/>
        <w:ind w:left="0" w:firstLine="753" w:firstLineChars="250"/>
        <w:rPr>
          <w:rFonts w:hint="default" w:ascii="Times New Roman" w:hAnsi="Times New Roman" w:eastAsia="黑体" w:cs="Times New Roman"/>
          <w:b/>
          <w:kern w:val="44"/>
          <w:sz w:val="30"/>
          <w:szCs w:val="30"/>
        </w:rPr>
      </w:pPr>
      <w:bookmarkStart w:id="15" w:name="_Toc326133245"/>
      <w:bookmarkEnd w:id="15"/>
      <w:bookmarkStart w:id="16" w:name="_Toc389470853"/>
      <w:bookmarkEnd w:id="16"/>
      <w:r>
        <w:rPr>
          <w:rFonts w:hint="default" w:ascii="Times New Roman" w:hAnsi="Times New Roman" w:eastAsia="黑体" w:cs="Times New Roman"/>
          <w:b/>
          <w:kern w:val="44"/>
          <w:sz w:val="30"/>
          <w:szCs w:val="30"/>
        </w:rPr>
        <w:t>三、体系的基本架构</w:t>
      </w:r>
    </w:p>
    <w:p>
      <w:pPr>
        <w:keepNext w:val="0"/>
        <w:keepLines w:val="0"/>
        <w:widowControl w:val="0"/>
        <w:suppressLineNumbers w:val="0"/>
        <w:spacing w:before="0" w:beforeAutospacing="0" w:after="0" w:afterAutospacing="0" w:line="360" w:lineRule="auto"/>
        <w:ind w:left="0" w:right="0" w:firstLine="600" w:firstLineChars="200"/>
        <w:jc w:val="left"/>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按照终身教育的理念，形成服务需求、开放融合、纵向流动、双向沟通的现代职业教育的体系框架和总体布局。</w:t>
      </w:r>
      <w:bookmarkStart w:id="17" w:name="_GoBack"/>
      <w:bookmarkEnd w:id="17"/>
    </w:p>
    <w:tbl>
      <w:tblPr>
        <w:tblStyle w:val="10"/>
        <w:tblW w:w="861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0580" w:hRule="atLeast"/>
          <w:jc w:val="center"/>
        </w:trPr>
        <w:tc>
          <w:tcPr>
            <w:tcW w:w="861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
                <w:kern w:val="2"/>
                <w:sz w:val="28"/>
                <w:szCs w:val="28"/>
                <w:bdr w:val="none" w:color="auto" w:sz="0" w:space="0"/>
              </w:rPr>
            </w:pPr>
            <w:bookmarkStart w:id="18" w:name="_Toc389470854"/>
            <w:r>
              <w:rPr>
                <w:rFonts w:hint="default" w:ascii="Times New Roman" w:hAnsi="Times New Roman" w:eastAsia="仿宋_GB2312" w:cs="Times New Roman"/>
                <w:b/>
                <w:kern w:val="2"/>
                <w:sz w:val="28"/>
                <w:szCs w:val="28"/>
                <w:bdr w:val="none" w:color="auto" w:sz="0" w:space="0"/>
                <w:lang w:val="en-US" w:eastAsia="zh-CN" w:bidi="ar"/>
              </w:rPr>
              <w:t xml:space="preserve">专栏2 </w:t>
            </w:r>
            <w:r>
              <w:rPr>
                <w:rFonts w:hint="eastAsia" w:ascii="仿宋_GB2312" w:hAnsi="Times New Roman" w:eastAsia="仿宋_GB2312" w:cs="仿宋_GB2312"/>
                <w:b/>
                <w:kern w:val="2"/>
                <w:sz w:val="28"/>
                <w:szCs w:val="28"/>
                <w:bdr w:val="none" w:color="auto" w:sz="0" w:space="0"/>
                <w:lang w:val="en-US" w:eastAsia="zh-CN" w:bidi="ar"/>
              </w:rPr>
              <w:t>教育体系基本框架示意图</w:t>
            </w:r>
            <w:bookmarkEnd w:id="18"/>
          </w:p>
          <w:p>
            <w:pPr>
              <w:keepNext w:val="0"/>
              <w:keepLines w:val="0"/>
              <w:widowControl w:val="0"/>
              <w:suppressLineNumbers w:val="0"/>
              <w:spacing w:before="0" w:beforeAutospacing="0" w:after="0" w:afterAutospacing="0"/>
              <w:ind w:left="0" w:right="0"/>
              <w:jc w:val="center"/>
              <w:rPr>
                <w:bdr w:val="none" w:color="auto" w:sz="0" w:space="0"/>
              </w:rPr>
            </w:pPr>
            <w:r>
              <w:rPr>
                <w:rFonts w:hint="default" w:ascii="Times New Roman" w:hAnsi="Times New Roman" w:eastAsia="仿宋_GB2312" w:cs="Times New Roman"/>
                <w:b/>
                <w:kern w:val="2"/>
                <w:sz w:val="28"/>
                <w:szCs w:val="28"/>
                <w:bdr w:val="none" w:color="auto" w:sz="0" w:space="0"/>
                <w:lang w:val="en-US" w:eastAsia="zh-CN" w:bidi="ar"/>
              </w:rPr>
              <w:fldChar w:fldCharType="begin"/>
            </w:r>
            <w:r>
              <w:rPr>
                <w:rFonts w:hint="default" w:ascii="Times New Roman" w:hAnsi="Times New Roman" w:eastAsia="仿宋_GB2312" w:cs="Times New Roman"/>
                <w:b/>
                <w:kern w:val="2"/>
                <w:sz w:val="28"/>
                <w:szCs w:val="28"/>
                <w:bdr w:val="none" w:color="auto" w:sz="0" w:space="0"/>
                <w:lang w:val="en-US" w:eastAsia="zh-CN" w:bidi="ar"/>
              </w:rPr>
              <w:instrText xml:space="preserve">INCLUDEPICTURE \d "C:\\DOCUME~1\\ADMINI~1\\LOCALS~1\\Temp\\ksohtml\\wps5DE.tmp.jpg" \* MERGEFORMATINET </w:instrText>
            </w:r>
            <w:r>
              <w:rPr>
                <w:rFonts w:hint="default" w:ascii="Times New Roman" w:hAnsi="Times New Roman" w:eastAsia="仿宋_GB2312" w:cs="Times New Roman"/>
                <w:b/>
                <w:kern w:val="2"/>
                <w:sz w:val="28"/>
                <w:szCs w:val="28"/>
                <w:bdr w:val="none" w:color="auto" w:sz="0" w:space="0"/>
                <w:lang w:val="en-US" w:eastAsia="zh-CN" w:bidi="ar"/>
              </w:rPr>
              <w:fldChar w:fldCharType="separate"/>
            </w:r>
            <w:r>
              <w:rPr>
                <w:rFonts w:hint="default" w:ascii="Times New Roman" w:hAnsi="Times New Roman" w:eastAsia="仿宋_GB2312" w:cs="Times New Roman"/>
                <w:b/>
                <w:kern w:val="2"/>
                <w:sz w:val="28"/>
                <w:szCs w:val="28"/>
                <w:bdr w:val="none" w:color="auto" w:sz="0" w:space="0"/>
                <w:lang w:val="en-US" w:eastAsia="zh-CN" w:bidi="ar"/>
              </w:rPr>
              <w:drawing>
                <wp:inline distT="0" distB="0" distL="114300" distR="114300">
                  <wp:extent cx="5191125" cy="4762500"/>
                  <wp:effectExtent l="0" t="0" r="9525"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link="rId4"/>
                          <a:srcRect/>
                          <a:stretch>
                            <a:fillRect/>
                          </a:stretch>
                        </pic:blipFill>
                        <pic:spPr>
                          <a:xfrm>
                            <a:off x="0" y="0"/>
                            <a:ext cx="5191125" cy="4762500"/>
                          </a:xfrm>
                          <a:prstGeom prst="rect">
                            <a:avLst/>
                          </a:prstGeom>
                          <a:noFill/>
                          <a:ln w="9525">
                            <a:noFill/>
                            <a:miter/>
                          </a:ln>
                        </pic:spPr>
                      </pic:pic>
                    </a:graphicData>
                  </a:graphic>
                </wp:inline>
              </w:drawing>
            </w:r>
            <w:r>
              <w:rPr>
                <w:rFonts w:hint="default" w:ascii="Times New Roman" w:hAnsi="Times New Roman" w:eastAsia="仿宋_GB2312" w:cs="Times New Roman"/>
                <w:b/>
                <w:kern w:val="2"/>
                <w:sz w:val="28"/>
                <w:szCs w:val="28"/>
                <w:bdr w:val="none" w:color="auto" w:sz="0" w:space="0"/>
                <w:lang w:val="en-US" w:eastAsia="zh-CN" w:bidi="ar"/>
              </w:rPr>
              <w:fldChar w:fldCharType="end"/>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
                <w:kern w:val="2"/>
                <w:sz w:val="28"/>
                <w:szCs w:val="28"/>
                <w:bdr w:val="none" w:color="auto" w:sz="0" w:space="0"/>
              </w:rPr>
            </w:pPr>
            <w:r>
              <w:rPr>
                <w:rFonts w:hint="default" w:ascii="Times New Roman" w:hAnsi="Times New Roman" w:eastAsia="仿宋_GB2312" w:cs="Times New Roman"/>
                <w:b/>
                <w:kern w:val="2"/>
                <w:sz w:val="28"/>
                <w:szCs w:val="28"/>
                <w:bdr w:val="none" w:color="auto" w:sz="0" w:space="0"/>
                <w:lang w:val="en-US" w:eastAsia="zh-CN" w:bidi="ar"/>
              </w:rPr>
              <w:fldChar w:fldCharType="begin"/>
            </w:r>
            <w:r>
              <w:rPr>
                <w:rFonts w:hint="default" w:ascii="Times New Roman" w:hAnsi="Times New Roman" w:eastAsia="仿宋_GB2312" w:cs="Times New Roman"/>
                <w:b/>
                <w:kern w:val="2"/>
                <w:sz w:val="28"/>
                <w:szCs w:val="28"/>
                <w:bdr w:val="none" w:color="auto" w:sz="0" w:space="0"/>
                <w:lang w:val="en-US" w:eastAsia="zh-CN" w:bidi="ar"/>
              </w:rPr>
              <w:instrText xml:space="preserve">INCLUDEPICTURE \d "C:\\DOCUME~1\\ADMINI~1\\LOCALS~1\\Temp\\ksohtml\\wps5DF.tmp.png" \* MERGEFORMATINET </w:instrText>
            </w:r>
            <w:r>
              <w:rPr>
                <w:rFonts w:hint="default" w:ascii="Times New Roman" w:hAnsi="Times New Roman" w:eastAsia="仿宋_GB2312" w:cs="Times New Roman"/>
                <w:b/>
                <w:kern w:val="2"/>
                <w:sz w:val="28"/>
                <w:szCs w:val="28"/>
                <w:bdr w:val="none" w:color="auto" w:sz="0" w:space="0"/>
                <w:lang w:val="en-US" w:eastAsia="zh-CN" w:bidi="ar"/>
              </w:rPr>
              <w:fldChar w:fldCharType="separate"/>
            </w:r>
            <w:r>
              <w:rPr>
                <w:rFonts w:hint="default" w:ascii="Times New Roman" w:hAnsi="Times New Roman" w:eastAsia="仿宋_GB2312" w:cs="Times New Roman"/>
                <w:b/>
                <w:kern w:val="2"/>
                <w:sz w:val="28"/>
                <w:szCs w:val="28"/>
                <w:bdr w:val="none" w:color="auto" w:sz="0" w:space="0"/>
                <w:lang w:val="en-US" w:eastAsia="zh-CN" w:bidi="ar"/>
              </w:rPr>
              <w:drawing>
                <wp:inline distT="0" distB="0" distL="114300" distR="114300">
                  <wp:extent cx="1905000" cy="695325"/>
                  <wp:effectExtent l="0" t="0" r="0" b="9525"/>
                  <wp:docPr id="3"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7"/>
                          <pic:cNvPicPr>
                            <a:picLocks noChangeAspect="1"/>
                          </pic:cNvPicPr>
                        </pic:nvPicPr>
                        <pic:blipFill>
                          <a:blip r:link="rId5"/>
                          <a:srcRect/>
                          <a:stretch>
                            <a:fillRect/>
                          </a:stretch>
                        </pic:blipFill>
                        <pic:spPr>
                          <a:xfrm>
                            <a:off x="0" y="0"/>
                            <a:ext cx="1905000" cy="695325"/>
                          </a:xfrm>
                          <a:prstGeom prst="rect">
                            <a:avLst/>
                          </a:prstGeom>
                          <a:noFill/>
                          <a:ln w="9525">
                            <a:noFill/>
                            <a:miter/>
                          </a:ln>
                        </pic:spPr>
                      </pic:pic>
                    </a:graphicData>
                  </a:graphic>
                </wp:inline>
              </w:drawing>
            </w:r>
            <w:r>
              <w:rPr>
                <w:rFonts w:hint="default" w:ascii="Times New Roman" w:hAnsi="Times New Roman" w:eastAsia="仿宋_GB2312" w:cs="Times New Roman"/>
                <w:b/>
                <w:kern w:val="2"/>
                <w:sz w:val="28"/>
                <w:szCs w:val="28"/>
                <w:bdr w:val="none" w:color="auto" w:sz="0" w:space="0"/>
                <w:lang w:val="en-US" w:eastAsia="zh-CN" w:bidi="ar"/>
              </w:rPr>
              <w:fldChar w:fldCharType="end"/>
            </w:r>
            <w:r>
              <w:rPr>
                <w:rFonts w:hint="default" w:ascii="Times New Roman" w:hAnsi="Times New Roman" w:eastAsia="仿宋_GB2312" w:cs="Times New Roman"/>
                <w:b/>
                <w:kern w:val="2"/>
                <w:sz w:val="28"/>
                <w:szCs w:val="28"/>
                <w:bdr w:val="none" w:color="auto" w:sz="0" w:space="0"/>
                <w:lang w:val="en-US" w:eastAsia="zh-CN" w:bidi="ar"/>
              </w:rPr>
              <w:fldChar w:fldCharType="begin"/>
            </w:r>
            <w:r>
              <w:rPr>
                <w:rFonts w:hint="default" w:ascii="Times New Roman" w:hAnsi="Times New Roman" w:eastAsia="仿宋_GB2312" w:cs="Times New Roman"/>
                <w:b/>
                <w:kern w:val="2"/>
                <w:sz w:val="28"/>
                <w:szCs w:val="28"/>
                <w:bdr w:val="none" w:color="auto" w:sz="0" w:space="0"/>
                <w:lang w:val="en-US" w:eastAsia="zh-CN" w:bidi="ar"/>
              </w:rPr>
              <w:instrText xml:space="preserve">INCLUDEPICTURE \d "C:\\DOCUME~1\\ADMINI~1\\LOCALS~1\\Temp\\ksohtml\\wps5E0.tmp.png" \* MERGEFORMATINET </w:instrText>
            </w:r>
            <w:r>
              <w:rPr>
                <w:rFonts w:hint="default" w:ascii="Times New Roman" w:hAnsi="Times New Roman" w:eastAsia="仿宋_GB2312" w:cs="Times New Roman"/>
                <w:b/>
                <w:kern w:val="2"/>
                <w:sz w:val="28"/>
                <w:szCs w:val="28"/>
                <w:bdr w:val="none" w:color="auto" w:sz="0" w:space="0"/>
                <w:lang w:val="en-US" w:eastAsia="zh-CN" w:bidi="ar"/>
              </w:rPr>
              <w:fldChar w:fldCharType="separate"/>
            </w:r>
            <w:r>
              <w:rPr>
                <w:rFonts w:hint="default" w:ascii="Times New Roman" w:hAnsi="Times New Roman" w:eastAsia="仿宋_GB2312" w:cs="Times New Roman"/>
                <w:b/>
                <w:kern w:val="2"/>
                <w:sz w:val="28"/>
                <w:szCs w:val="28"/>
                <w:bdr w:val="none" w:color="auto" w:sz="0" w:space="0"/>
                <w:lang w:val="en-US" w:eastAsia="zh-CN" w:bidi="ar"/>
              </w:rPr>
              <w:drawing>
                <wp:inline distT="0" distB="0" distL="114300" distR="114300">
                  <wp:extent cx="2266950" cy="819150"/>
                  <wp:effectExtent l="0" t="0" r="0" b="0"/>
                  <wp:docPr id="4"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8"/>
                          <pic:cNvPicPr>
                            <a:picLocks noChangeAspect="1"/>
                          </pic:cNvPicPr>
                        </pic:nvPicPr>
                        <pic:blipFill>
                          <a:blip r:link="rId6"/>
                          <a:srcRect/>
                          <a:stretch>
                            <a:fillRect/>
                          </a:stretch>
                        </pic:blipFill>
                        <pic:spPr>
                          <a:xfrm>
                            <a:off x="0" y="0"/>
                            <a:ext cx="2266950" cy="819150"/>
                          </a:xfrm>
                          <a:prstGeom prst="rect">
                            <a:avLst/>
                          </a:prstGeom>
                          <a:noFill/>
                          <a:ln w="9525">
                            <a:noFill/>
                            <a:miter/>
                          </a:ln>
                        </pic:spPr>
                      </pic:pic>
                    </a:graphicData>
                  </a:graphic>
                </wp:inline>
              </w:drawing>
            </w:r>
            <w:r>
              <w:rPr>
                <w:rFonts w:hint="default" w:ascii="Times New Roman" w:hAnsi="Times New Roman" w:eastAsia="仿宋_GB2312" w:cs="Times New Roman"/>
                <w:b/>
                <w:kern w:val="2"/>
                <w:sz w:val="28"/>
                <w:szCs w:val="28"/>
                <w:bdr w:val="none" w:color="auto" w:sz="0" w:space="0"/>
                <w:lang w:val="en-US" w:eastAsia="zh-CN" w:bidi="ar"/>
              </w:rPr>
              <w:fldChar w:fldCharType="end"/>
            </w:r>
            <w:r>
              <w:rPr>
                <w:rFonts w:hint="default" w:ascii="Times New Roman" w:hAnsi="Times New Roman" w:eastAsia="仿宋_GB2312" w:cs="Times New Roman"/>
                <w:b/>
                <w:kern w:val="2"/>
                <w:sz w:val="28"/>
                <w:szCs w:val="28"/>
                <w:bdr w:val="none" w:color="auto" w:sz="0" w:space="0"/>
                <w:lang w:val="en-US" w:eastAsia="zh-CN" w:bidi="ar"/>
              </w:rPr>
              <w:fldChar w:fldCharType="begin"/>
            </w:r>
            <w:r>
              <w:rPr>
                <w:rFonts w:hint="default" w:ascii="Times New Roman" w:hAnsi="Times New Roman" w:eastAsia="仿宋_GB2312" w:cs="Times New Roman"/>
                <w:b/>
                <w:kern w:val="2"/>
                <w:sz w:val="28"/>
                <w:szCs w:val="28"/>
                <w:bdr w:val="none" w:color="auto" w:sz="0" w:space="0"/>
                <w:lang w:val="en-US" w:eastAsia="zh-CN" w:bidi="ar"/>
              </w:rPr>
              <w:instrText xml:space="preserve">INCLUDEPICTURE \d "C:\\DOCUME~1\\ADMINI~1\\LOCALS~1\\Temp\\ksohtml\\wps5E1.tmp.png" \* MERGEFORMATINET </w:instrText>
            </w:r>
            <w:r>
              <w:rPr>
                <w:rFonts w:hint="default" w:ascii="Times New Roman" w:hAnsi="Times New Roman" w:eastAsia="仿宋_GB2312" w:cs="Times New Roman"/>
                <w:b/>
                <w:kern w:val="2"/>
                <w:sz w:val="28"/>
                <w:szCs w:val="28"/>
                <w:bdr w:val="none" w:color="auto" w:sz="0" w:space="0"/>
                <w:lang w:val="en-US" w:eastAsia="zh-CN" w:bidi="ar"/>
              </w:rPr>
              <w:fldChar w:fldCharType="separate"/>
            </w:r>
            <w:r>
              <w:rPr>
                <w:rFonts w:hint="default" w:ascii="Times New Roman" w:hAnsi="Times New Roman" w:eastAsia="仿宋_GB2312" w:cs="Times New Roman"/>
                <w:b/>
                <w:kern w:val="2"/>
                <w:sz w:val="28"/>
                <w:szCs w:val="28"/>
                <w:bdr w:val="none" w:color="auto" w:sz="0" w:space="0"/>
                <w:lang w:val="en-US" w:eastAsia="zh-CN" w:bidi="ar"/>
              </w:rPr>
              <w:drawing>
                <wp:inline distT="0" distB="0" distL="114300" distR="114300">
                  <wp:extent cx="1971675" cy="771525"/>
                  <wp:effectExtent l="0" t="0" r="9525" b="9525"/>
                  <wp:docPr id="6" name="图片 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9"/>
                          <pic:cNvPicPr>
                            <a:picLocks noChangeAspect="1"/>
                          </pic:cNvPicPr>
                        </pic:nvPicPr>
                        <pic:blipFill>
                          <a:blip r:link="rId7"/>
                          <a:srcRect/>
                          <a:stretch>
                            <a:fillRect/>
                          </a:stretch>
                        </pic:blipFill>
                        <pic:spPr>
                          <a:xfrm>
                            <a:off x="0" y="0"/>
                            <a:ext cx="1971675" cy="771525"/>
                          </a:xfrm>
                          <a:prstGeom prst="rect">
                            <a:avLst/>
                          </a:prstGeom>
                          <a:noFill/>
                          <a:ln w="9525">
                            <a:noFill/>
                            <a:miter/>
                          </a:ln>
                        </pic:spPr>
                      </pic:pic>
                    </a:graphicData>
                  </a:graphic>
                </wp:inline>
              </w:drawing>
            </w:r>
            <w:r>
              <w:rPr>
                <w:rFonts w:hint="default" w:ascii="Times New Roman" w:hAnsi="Times New Roman" w:eastAsia="仿宋_GB2312" w:cs="Times New Roman"/>
                <w:b/>
                <w:kern w:val="2"/>
                <w:sz w:val="28"/>
                <w:szCs w:val="28"/>
                <w:bdr w:val="none" w:color="auto" w:sz="0" w:space="0"/>
                <w:lang w:val="en-US" w:eastAsia="zh-CN" w:bidi="ar"/>
              </w:rPr>
              <w:fldChar w:fldCharType="end"/>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
                <w:kern w:val="2"/>
                <w:sz w:val="28"/>
                <w:szCs w:val="28"/>
                <w:bdr w:val="none" w:color="auto" w:sz="0" w:space="0"/>
              </w:rPr>
            </w:pPr>
            <w:r>
              <w:rPr>
                <w:rFonts w:hint="default" w:ascii="Times New Roman" w:hAnsi="Times New Roman" w:eastAsia="仿宋_GB2312" w:cs="Times New Roman"/>
                <w:b/>
                <w:kern w:val="2"/>
                <w:sz w:val="28"/>
                <w:szCs w:val="28"/>
                <w:bdr w:val="none" w:color="auto" w:sz="0" w:space="0"/>
                <w:lang w:val="en-US" w:eastAsia="zh-CN" w:bidi="ar"/>
              </w:rPr>
              <w:fldChar w:fldCharType="begin"/>
            </w:r>
            <w:r>
              <w:rPr>
                <w:rFonts w:hint="default" w:ascii="Times New Roman" w:hAnsi="Times New Roman" w:eastAsia="仿宋_GB2312" w:cs="Times New Roman"/>
                <w:b/>
                <w:kern w:val="2"/>
                <w:sz w:val="28"/>
                <w:szCs w:val="28"/>
                <w:bdr w:val="none" w:color="auto" w:sz="0" w:space="0"/>
                <w:lang w:val="en-US" w:eastAsia="zh-CN" w:bidi="ar"/>
              </w:rPr>
              <w:instrText xml:space="preserve">INCLUDEPICTURE \d "C:\\DOCUME~1\\ADMINI~1\\LOCALS~1\\Temp\\ksohtml\\wps5E2.tmp.png" \* MERGEFORMATINET </w:instrText>
            </w:r>
            <w:r>
              <w:rPr>
                <w:rFonts w:hint="default" w:ascii="Times New Roman" w:hAnsi="Times New Roman" w:eastAsia="仿宋_GB2312" w:cs="Times New Roman"/>
                <w:b/>
                <w:kern w:val="2"/>
                <w:sz w:val="28"/>
                <w:szCs w:val="28"/>
                <w:bdr w:val="none" w:color="auto" w:sz="0" w:space="0"/>
                <w:lang w:val="en-US" w:eastAsia="zh-CN" w:bidi="ar"/>
              </w:rPr>
              <w:fldChar w:fldCharType="separate"/>
            </w:r>
            <w:r>
              <w:rPr>
                <w:rFonts w:hint="default" w:ascii="Times New Roman" w:hAnsi="Times New Roman" w:eastAsia="仿宋_GB2312" w:cs="Times New Roman"/>
                <w:b/>
                <w:kern w:val="2"/>
                <w:sz w:val="28"/>
                <w:szCs w:val="28"/>
                <w:bdr w:val="none" w:color="auto" w:sz="0" w:space="0"/>
                <w:lang w:val="en-US" w:eastAsia="zh-CN" w:bidi="ar"/>
              </w:rPr>
              <w:drawing>
                <wp:inline distT="0" distB="0" distL="114300" distR="114300">
                  <wp:extent cx="1009650" cy="314325"/>
                  <wp:effectExtent l="0" t="0" r="0" b="9525"/>
                  <wp:docPr id="2" name="图片 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60"/>
                          <pic:cNvPicPr>
                            <a:picLocks noChangeAspect="1"/>
                          </pic:cNvPicPr>
                        </pic:nvPicPr>
                        <pic:blipFill>
                          <a:blip r:link="rId8"/>
                          <a:srcRect/>
                          <a:stretch>
                            <a:fillRect/>
                          </a:stretch>
                        </pic:blipFill>
                        <pic:spPr>
                          <a:xfrm>
                            <a:off x="0" y="0"/>
                            <a:ext cx="1009650" cy="314325"/>
                          </a:xfrm>
                          <a:prstGeom prst="rect">
                            <a:avLst/>
                          </a:prstGeom>
                          <a:noFill/>
                          <a:ln w="9525">
                            <a:noFill/>
                            <a:miter/>
                          </a:ln>
                        </pic:spPr>
                      </pic:pic>
                    </a:graphicData>
                  </a:graphic>
                </wp:inline>
              </w:drawing>
            </w:r>
            <w:r>
              <w:rPr>
                <w:rFonts w:hint="default" w:ascii="Times New Roman" w:hAnsi="Times New Roman" w:eastAsia="仿宋_GB2312" w:cs="Times New Roman"/>
                <w:b/>
                <w:kern w:val="2"/>
                <w:sz w:val="28"/>
                <w:szCs w:val="28"/>
                <w:bdr w:val="none" w:color="auto" w:sz="0" w:space="0"/>
                <w:lang w:val="en-US" w:eastAsia="zh-CN" w:bidi="ar"/>
              </w:rPr>
              <w:fldChar w:fldCharType="end"/>
            </w:r>
            <w:r>
              <w:rPr>
                <w:rFonts w:hint="default" w:ascii="Times New Roman" w:hAnsi="Times New Roman" w:eastAsia="仿宋_GB2312" w:cs="Times New Roman"/>
                <w:b/>
                <w:kern w:val="2"/>
                <w:sz w:val="28"/>
                <w:szCs w:val="28"/>
                <w:bdr w:val="none" w:color="auto" w:sz="0" w:space="0"/>
                <w:lang w:val="en-US" w:eastAsia="zh-CN" w:bidi="ar"/>
              </w:rPr>
              <w:fldChar w:fldCharType="begin"/>
            </w:r>
            <w:r>
              <w:rPr>
                <w:rFonts w:hint="default" w:ascii="Times New Roman" w:hAnsi="Times New Roman" w:eastAsia="仿宋_GB2312" w:cs="Times New Roman"/>
                <w:b/>
                <w:kern w:val="2"/>
                <w:sz w:val="28"/>
                <w:szCs w:val="28"/>
                <w:bdr w:val="none" w:color="auto" w:sz="0" w:space="0"/>
                <w:lang w:val="en-US" w:eastAsia="zh-CN" w:bidi="ar"/>
              </w:rPr>
              <w:instrText xml:space="preserve">INCLUDEPICTURE \d "C:\\DOCUME~1\\ADMINI~1\\LOCALS~1\\Temp\\ksohtml\\wps5E3.tmp.png" \* MERGEFORMATINET </w:instrText>
            </w:r>
            <w:r>
              <w:rPr>
                <w:rFonts w:hint="default" w:ascii="Times New Roman" w:hAnsi="Times New Roman" w:eastAsia="仿宋_GB2312" w:cs="Times New Roman"/>
                <w:b/>
                <w:kern w:val="2"/>
                <w:sz w:val="28"/>
                <w:szCs w:val="28"/>
                <w:bdr w:val="none" w:color="auto" w:sz="0" w:space="0"/>
                <w:lang w:val="en-US" w:eastAsia="zh-CN" w:bidi="ar"/>
              </w:rPr>
              <w:fldChar w:fldCharType="separate"/>
            </w:r>
            <w:r>
              <w:rPr>
                <w:rFonts w:hint="default" w:ascii="Times New Roman" w:hAnsi="Times New Roman" w:eastAsia="仿宋_GB2312" w:cs="Times New Roman"/>
                <w:b/>
                <w:kern w:val="2"/>
                <w:sz w:val="28"/>
                <w:szCs w:val="28"/>
                <w:bdr w:val="none" w:color="auto" w:sz="0" w:space="0"/>
                <w:lang w:val="en-US" w:eastAsia="zh-CN" w:bidi="ar"/>
              </w:rPr>
              <w:drawing>
                <wp:inline distT="0" distB="0" distL="114300" distR="114300">
                  <wp:extent cx="1009650" cy="323850"/>
                  <wp:effectExtent l="0" t="0" r="0" b="0"/>
                  <wp:docPr id="7" name="图片 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1"/>
                          <pic:cNvPicPr>
                            <a:picLocks noChangeAspect="1"/>
                          </pic:cNvPicPr>
                        </pic:nvPicPr>
                        <pic:blipFill>
                          <a:blip r:link="rId9"/>
                          <a:srcRect/>
                          <a:stretch>
                            <a:fillRect/>
                          </a:stretch>
                        </pic:blipFill>
                        <pic:spPr>
                          <a:xfrm>
                            <a:off x="0" y="0"/>
                            <a:ext cx="1009650" cy="323850"/>
                          </a:xfrm>
                          <a:prstGeom prst="rect">
                            <a:avLst/>
                          </a:prstGeom>
                          <a:noFill/>
                          <a:ln w="9525">
                            <a:noFill/>
                            <a:miter/>
                          </a:ln>
                        </pic:spPr>
                      </pic:pic>
                    </a:graphicData>
                  </a:graphic>
                </wp:inline>
              </w:drawing>
            </w:r>
            <w:r>
              <w:rPr>
                <w:rFonts w:hint="default" w:ascii="Times New Roman" w:hAnsi="Times New Roman" w:eastAsia="仿宋_GB2312" w:cs="Times New Roman"/>
                <w:b/>
                <w:kern w:val="2"/>
                <w:sz w:val="28"/>
                <w:szCs w:val="28"/>
                <w:bdr w:val="none" w:color="auto" w:sz="0" w:space="0"/>
                <w:lang w:val="en-US" w:eastAsia="zh-CN" w:bidi="ar"/>
              </w:rPr>
              <w:fldChar w:fldCharType="end"/>
            </w:r>
            <w:r>
              <w:rPr>
                <w:rFonts w:hint="default" w:ascii="Times New Roman" w:hAnsi="Times New Roman" w:eastAsia="仿宋_GB2312" w:cs="Times New Roman"/>
                <w:b/>
                <w:kern w:val="2"/>
                <w:sz w:val="28"/>
                <w:szCs w:val="28"/>
                <w:bdr w:val="none" w:color="auto" w:sz="0" w:space="0"/>
                <w:lang w:val="en-US" w:eastAsia="zh-CN" w:bidi="ar"/>
              </w:rPr>
              <w:fldChar w:fldCharType="begin"/>
            </w:r>
            <w:r>
              <w:rPr>
                <w:rFonts w:hint="default" w:ascii="Times New Roman" w:hAnsi="Times New Roman" w:eastAsia="仿宋_GB2312" w:cs="Times New Roman"/>
                <w:b/>
                <w:kern w:val="2"/>
                <w:sz w:val="28"/>
                <w:szCs w:val="28"/>
                <w:bdr w:val="none" w:color="auto" w:sz="0" w:space="0"/>
                <w:lang w:val="en-US" w:eastAsia="zh-CN" w:bidi="ar"/>
              </w:rPr>
              <w:instrText xml:space="preserve">INCLUDEPICTURE \d "C:\\DOCUME~1\\ADMINI~1\\LOCALS~1\\Temp\\ksohtml\\wps5E4.tmp.png" \* MERGEFORMATINET </w:instrText>
            </w:r>
            <w:r>
              <w:rPr>
                <w:rFonts w:hint="default" w:ascii="Times New Roman" w:hAnsi="Times New Roman" w:eastAsia="仿宋_GB2312" w:cs="Times New Roman"/>
                <w:b/>
                <w:kern w:val="2"/>
                <w:sz w:val="28"/>
                <w:szCs w:val="28"/>
                <w:bdr w:val="none" w:color="auto" w:sz="0" w:space="0"/>
                <w:lang w:val="en-US" w:eastAsia="zh-CN" w:bidi="ar"/>
              </w:rPr>
              <w:fldChar w:fldCharType="separate"/>
            </w:r>
            <w:r>
              <w:rPr>
                <w:rFonts w:hint="default" w:ascii="Times New Roman" w:hAnsi="Times New Roman" w:eastAsia="仿宋_GB2312" w:cs="Times New Roman"/>
                <w:b/>
                <w:kern w:val="2"/>
                <w:sz w:val="28"/>
                <w:szCs w:val="28"/>
                <w:bdr w:val="none" w:color="auto" w:sz="0" w:space="0"/>
                <w:lang w:val="en-US" w:eastAsia="zh-CN" w:bidi="ar"/>
              </w:rPr>
              <w:drawing>
                <wp:inline distT="0" distB="0" distL="114300" distR="114300">
                  <wp:extent cx="1009650" cy="323850"/>
                  <wp:effectExtent l="0" t="0" r="0" b="0"/>
                  <wp:docPr id="8" name="图片 8"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2"/>
                          <pic:cNvPicPr>
                            <a:picLocks noChangeAspect="1"/>
                          </pic:cNvPicPr>
                        </pic:nvPicPr>
                        <pic:blipFill>
                          <a:blip r:link="rId10"/>
                          <a:srcRect/>
                          <a:stretch>
                            <a:fillRect/>
                          </a:stretch>
                        </pic:blipFill>
                        <pic:spPr>
                          <a:xfrm>
                            <a:off x="0" y="0"/>
                            <a:ext cx="1009650" cy="323850"/>
                          </a:xfrm>
                          <a:prstGeom prst="rect">
                            <a:avLst/>
                          </a:prstGeom>
                          <a:noFill/>
                          <a:ln w="9525">
                            <a:noFill/>
                            <a:miter/>
                          </a:ln>
                        </pic:spPr>
                      </pic:pic>
                    </a:graphicData>
                  </a:graphic>
                </wp:inline>
              </w:drawing>
            </w:r>
            <w:r>
              <w:rPr>
                <w:rFonts w:hint="default" w:ascii="Times New Roman" w:hAnsi="Times New Roman" w:eastAsia="仿宋_GB2312" w:cs="Times New Roman"/>
                <w:b/>
                <w:kern w:val="2"/>
                <w:sz w:val="28"/>
                <w:szCs w:val="28"/>
                <w:bdr w:val="none" w:color="auto" w:sz="0" w:space="0"/>
                <w:lang w:val="en-US" w:eastAsia="zh-CN" w:bidi="ar"/>
              </w:rPr>
              <w:fldChar w:fldCharType="end"/>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
                <w:kern w:val="2"/>
                <w:sz w:val="28"/>
                <w:szCs w:val="28"/>
                <w:bdr w:val="none" w:color="auto" w:sz="0" w:space="0"/>
              </w:rPr>
            </w:pPr>
            <w:r>
              <w:rPr>
                <w:rFonts w:hint="eastAsia" w:ascii="仿宋_GB2312" w:hAnsi="Times New Roman" w:eastAsia="仿宋_GB2312" w:cs="仿宋_GB2312"/>
                <w:b/>
                <w:kern w:val="2"/>
                <w:sz w:val="28"/>
                <w:szCs w:val="28"/>
                <w:bdr w:val="none" w:color="auto" w:sz="0" w:space="0"/>
                <w:lang w:val="en-US" w:eastAsia="zh-CN" w:bidi="ar"/>
              </w:rPr>
              <w:t>普通教育体系        职业教育体系     继续教育体系</w:t>
            </w:r>
          </w:p>
        </w:tc>
      </w:tr>
    </w:tbl>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w:t>
      </w:r>
    </w:p>
    <w:p>
      <w:pPr>
        <w:pStyle w:val="3"/>
        <w:widowControl/>
        <w:spacing w:before="0" w:beforeAutospacing="0" w:after="0" w:afterAutospacing="0"/>
        <w:ind w:left="0" w:firstLine="600" w:firstLineChars="200"/>
        <w:rPr>
          <w:rFonts w:hint="default" w:ascii="Times New Roman" w:hAnsi="Times New Roman" w:eastAsia="黑体" w:cs="Times New Roman"/>
          <w:b/>
          <w:kern w:val="2"/>
          <w:sz w:val="32"/>
          <w:szCs w:val="32"/>
        </w:rPr>
      </w:pPr>
      <w:r>
        <w:rPr>
          <w:rFonts w:hint="default" w:ascii="Times New Roman" w:hAnsi="Times New Roman" w:eastAsia="楷体_GB2312" w:cs="Times New Roman"/>
          <w:b w:val="0"/>
          <w:kern w:val="2"/>
          <w:sz w:val="30"/>
          <w:szCs w:val="30"/>
        </w:rPr>
        <w:t>（一）职业教育的层次结构。</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 xml:space="preserve">初等职业教育。在有需要的地方继续办好初等职业教育学校。各类职业院校、培训机构和用人单位内部开展实用技术技能培训，使学习者获得基本的工作和生活技能。 </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中等职业教育。中等职业教育在现代职业教育体系中具有基础作用，为初高中毕业生开展基础性的知识、技术和技能教育，培养技能人才。中等职业教育是职业教育发展的重点，今后一个时期总体保持普通高中和中等职业学校招生规模大体相当。</w:t>
      </w:r>
    </w:p>
    <w:p>
      <w:pPr>
        <w:keepNext w:val="0"/>
        <w:keepLines w:val="0"/>
        <w:widowControl w:val="0"/>
        <w:suppressLineNumbers w:val="0"/>
        <w:spacing w:before="0" w:beforeAutospacing="0" w:after="0" w:afterAutospacing="0" w:line="640" w:lineRule="exact"/>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高等职业教育。在办好现有专科层次高等职业（专科）学校的基础上，发展应用技术类型高校，培养本科层次职业人才。应用技术类型高等学校是高等教育体系的重要组成部分，与其他普通本科学校具有平等地位。高等职业教育规模占高等教育的一半以上，本科层次职业教育达到一定规模。建立以提升职业能力为导向的专业学位研究生培养模式。根据高等学校设置制度规定，将符合条件的技师学院纳入高等学校序列。</w:t>
      </w:r>
    </w:p>
    <w:p>
      <w:pPr>
        <w:pStyle w:val="3"/>
        <w:widowControl/>
        <w:ind w:left="0" w:firstLine="600" w:firstLineChars="200"/>
        <w:rPr>
          <w:rFonts w:hint="default" w:ascii="Times New Roman" w:hAnsi="Times New Roman" w:eastAsia="楷体_GB2312" w:cs="Times New Roman"/>
          <w:b/>
          <w:kern w:val="2"/>
          <w:sz w:val="30"/>
          <w:szCs w:val="30"/>
        </w:rPr>
      </w:pPr>
      <w:bookmarkStart w:id="19" w:name="_Toc389470855"/>
      <w:bookmarkEnd w:id="19"/>
      <w:r>
        <w:rPr>
          <w:rFonts w:hint="default" w:ascii="Times New Roman" w:hAnsi="Times New Roman" w:eastAsia="楷体_GB2312" w:cs="Times New Roman"/>
          <w:b w:val="0"/>
          <w:kern w:val="2"/>
          <w:sz w:val="30"/>
          <w:szCs w:val="30"/>
        </w:rPr>
        <w:t>（二）职业教育的终身一体。</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highlight w:val="yellow"/>
        </w:rPr>
      </w:pPr>
      <w:r>
        <w:rPr>
          <w:rFonts w:hint="default" w:ascii="Times New Roman" w:hAnsi="Times New Roman" w:eastAsia="仿宋_GB2312" w:cs="Times New Roman"/>
          <w:kern w:val="2"/>
          <w:sz w:val="30"/>
          <w:szCs w:val="30"/>
          <w:lang w:val="en-US" w:eastAsia="zh-CN" w:bidi="ar"/>
        </w:rPr>
        <w:t>职业辅导教育。普通教育学校为在校生和未升学毕业生提供多种形式职业发展辅导。普通高中根据需要适当增加职业技术教育内容。职业院校和普通教育学校开展以职业道德、职业发展、就业准备、创业指导等为主要内容的就业教育和服务。</w:t>
      </w:r>
    </w:p>
    <w:p>
      <w:pPr>
        <w:keepNext w:val="0"/>
        <w:keepLines w:val="0"/>
        <w:widowControl w:val="0"/>
        <w:suppressLineNumbers w:val="0"/>
        <w:spacing w:before="0" w:beforeAutospacing="0" w:after="0" w:afterAutospacing="0"/>
        <w:ind w:left="0" w:right="0" w:firstLine="6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职业继续教育。各类职业院校是继续教育的重要主体，通过多种教育形式为所有劳动者提供终身学习机会。企事业单位举办职工教育，建立制度化的岗位培训体系。社会培训机构是职业继续教育的重要组成部分，依法自主开展职业培训和承接政府组织的职业培训。</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30"/>
          <w:szCs w:val="30"/>
          <w:lang w:val="en-US" w:eastAsia="zh-CN" w:bidi="ar"/>
        </w:rPr>
        <w:t>劳动者终身学习。增强职业教育体系的开放性和多样性，使劳动者能够在职业发展的不同阶段通过多次选择、多种方式灵活接受职业教育和培训，促进学习者为职业发展而学习，使职业教育成为促进全体劳动者可持续发展的教育。</w:t>
      </w:r>
    </w:p>
    <w:p>
      <w:pPr>
        <w:pStyle w:val="3"/>
        <w:widowControl/>
        <w:ind w:left="0" w:firstLine="600" w:firstLineChars="200"/>
        <w:rPr>
          <w:rFonts w:hint="default" w:ascii="Times New Roman" w:hAnsi="Times New Roman" w:eastAsia="楷体_GB2312" w:cs="Times New Roman"/>
          <w:b w:val="0"/>
          <w:kern w:val="2"/>
          <w:sz w:val="30"/>
          <w:szCs w:val="30"/>
        </w:rPr>
      </w:pPr>
      <w:bookmarkStart w:id="20" w:name="_Toc389470856"/>
      <w:bookmarkEnd w:id="20"/>
      <w:r>
        <w:rPr>
          <w:rFonts w:hint="default" w:ascii="Times New Roman" w:hAnsi="Times New Roman" w:eastAsia="楷体_GB2312" w:cs="Times New Roman"/>
          <w:b w:val="0"/>
          <w:kern w:val="2"/>
          <w:sz w:val="30"/>
          <w:szCs w:val="30"/>
        </w:rPr>
        <w:t>（三）职业教育的办学类型。</w:t>
      </w:r>
    </w:p>
    <w:p>
      <w:pPr>
        <w:keepNext w:val="0"/>
        <w:keepLines w:val="0"/>
        <w:widowControl w:val="0"/>
        <w:suppressLineNumbers w:val="0"/>
        <w:spacing w:before="0" w:beforeAutospacing="0" w:after="0" w:afterAutospacing="0"/>
        <w:ind w:left="0" w:right="0" w:firstLine="6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政府办学、企业办学和社会办学。建立政府、企业和其他社会力量共同发挥办学主体作用，公办和民办职业院校共同发展的职业教育办学体制。政府实行统一的准入制度，办好骨干职业院校，支持社会力量办学。各类主体兴办的职业院校具有同等法律地位，依法公平、公开竞争。</w:t>
      </w:r>
    </w:p>
    <w:p>
      <w:pPr>
        <w:keepNext w:val="0"/>
        <w:keepLines w:val="0"/>
        <w:widowControl w:val="0"/>
        <w:suppressLineNumbers w:val="0"/>
        <w:spacing w:before="0" w:beforeAutospacing="0" w:after="0" w:afterAutospacing="0"/>
        <w:ind w:left="0" w:right="0" w:firstLine="570" w:firstLineChars="19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全日制职业教育与非全日制职业教育。增加非全日制职业教育在职业教育中的比重，发展工学交替、双元制、学徒制、半工半读、远程教育等各种灵活学习方式的职业教育。通过改革学制、学籍和学分管理制度，实现全日制职业教育和非全日制职业教育的统筹管理。</w:t>
      </w:r>
    </w:p>
    <w:p>
      <w:pPr>
        <w:keepNext w:val="0"/>
        <w:keepLines w:val="0"/>
        <w:widowControl w:val="0"/>
        <w:suppressLineNumbers w:val="0"/>
        <w:spacing w:before="0" w:beforeAutospacing="0" w:after="0" w:afterAutospacing="0"/>
        <w:ind w:left="0" w:right="0" w:firstLine="6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学历职业教育与非学历职业教育。职业院校同时开展学历职业教育和非学历职业教育，满足行业、企业和社区的多样化需求。职业院校和职业培训机构开展的非学历职业教育可以通过质量认证体系、学分积累和转换制度、学分银行和职业资格考试进行学历认证。</w:t>
      </w:r>
    </w:p>
    <w:p>
      <w:pPr>
        <w:pStyle w:val="3"/>
        <w:widowControl/>
        <w:ind w:left="0" w:firstLine="600" w:firstLineChars="200"/>
        <w:rPr>
          <w:rFonts w:hint="default" w:ascii="Times New Roman" w:hAnsi="Times New Roman" w:eastAsia="楷体_GB2312" w:cs="Times New Roman"/>
          <w:b/>
          <w:kern w:val="2"/>
          <w:sz w:val="30"/>
          <w:szCs w:val="30"/>
        </w:rPr>
      </w:pPr>
      <w:bookmarkStart w:id="21" w:name="_Toc389470857"/>
      <w:bookmarkEnd w:id="21"/>
      <w:r>
        <w:rPr>
          <w:rFonts w:hint="default" w:ascii="Times New Roman" w:hAnsi="Times New Roman" w:eastAsia="楷体_GB2312" w:cs="Times New Roman"/>
          <w:b w:val="0"/>
          <w:kern w:val="2"/>
          <w:sz w:val="30"/>
          <w:szCs w:val="30"/>
        </w:rPr>
        <w:t>（四）职业教育的开放沟通。</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职业教育体系内部。系统构建从中职、专科、本科到专业学位研究生的培养体系，满足各层次技术技能人才的教育需求，服务一线劳动者的职业成长。拓宽高等职业学校招收中等职业学校毕业生、应用技术类型高等学校招收职业院校毕业生通道，打开职业院校学生的成长空间。在确有需要的职业领域，可以实行中职、专科、本科贯通培养。</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职业教育与普通教育。建立职业教育和普通教育双向沟通的桥梁。普通学校和职业院校可以开展课程和学分互认。学习者可以通过考试在普通学校和职业院校之间转学、升学。普通高等学校可以招收职业院校毕业生，并与职业院校联合培养高层次应用型人才。</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职业教育与人力资源市场。职业院校按照经济社会发展的需求确定人才培养的规格层次、专业体系、培养方式和质量标准。畅通一线劳动者继续学习深造的路径，增加有工作经验的技术技能人才在职业院校学生中的比重，建立在职人员学习-</w:t>
      </w:r>
      <w:r>
        <w:rPr>
          <w:rFonts w:hint="eastAsia" w:ascii="仿宋_GB2312" w:hAnsi="Times New Roman" w:eastAsia="仿宋_GB2312" w:cs="仿宋_GB2312"/>
          <w:kern w:val="2"/>
          <w:sz w:val="30"/>
          <w:szCs w:val="30"/>
          <w:lang w:val="en-US" w:eastAsia="zh-CN" w:bidi="ar"/>
        </w:rPr>
        <w:t>就业</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再学习的通道，实现优秀人才在职业领域与教育领域的顺畅转换。</w:t>
      </w:r>
    </w:p>
    <w:p>
      <w:pPr>
        <w:pStyle w:val="2"/>
        <w:widowControl/>
        <w:ind w:left="0" w:firstLine="753" w:firstLineChars="250"/>
        <w:rPr>
          <w:rFonts w:hint="default" w:ascii="Times New Roman" w:hAnsi="Times New Roman" w:eastAsia="黑体" w:cs="Times New Roman"/>
          <w:b/>
          <w:kern w:val="44"/>
          <w:sz w:val="30"/>
          <w:szCs w:val="30"/>
        </w:rPr>
      </w:pPr>
      <w:bookmarkStart w:id="22" w:name="_Toc326133246"/>
      <w:bookmarkEnd w:id="22"/>
      <w:bookmarkStart w:id="23" w:name="_Toc389470858"/>
      <w:r>
        <w:rPr>
          <w:rFonts w:hint="default" w:ascii="Times New Roman" w:hAnsi="Times New Roman" w:eastAsia="黑体" w:cs="Times New Roman"/>
          <w:b/>
          <w:kern w:val="44"/>
          <w:sz w:val="30"/>
          <w:szCs w:val="30"/>
        </w:rPr>
        <w:t>四、</w:t>
      </w:r>
      <w:bookmarkEnd w:id="23"/>
      <w:r>
        <w:rPr>
          <w:rFonts w:hint="default" w:ascii="Times New Roman" w:hAnsi="Times New Roman" w:eastAsia="黑体" w:cs="Times New Roman"/>
          <w:b/>
          <w:kern w:val="44"/>
          <w:sz w:val="30"/>
          <w:szCs w:val="30"/>
        </w:rPr>
        <w:t>体系建设的重点任务</w:t>
      </w:r>
    </w:p>
    <w:p>
      <w:pPr>
        <w:keepNext w:val="0"/>
        <w:keepLines w:val="0"/>
        <w:widowControl w:val="0"/>
        <w:suppressLineNumbers w:val="0"/>
        <w:spacing w:before="0" w:beforeAutospacing="0" w:after="0" w:afterAutospacing="0"/>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以现代教育理念为先导，加强现代职业教育体系建设的重点领域和薄弱环节。</w:t>
      </w:r>
    </w:p>
    <w:p>
      <w:pPr>
        <w:pStyle w:val="3"/>
        <w:widowControl/>
        <w:ind w:left="0" w:firstLine="600" w:firstLineChars="200"/>
        <w:rPr>
          <w:rFonts w:hint="default" w:ascii="Times New Roman" w:hAnsi="Times New Roman" w:eastAsia="楷体_GB2312" w:cs="Times New Roman"/>
          <w:b w:val="0"/>
          <w:kern w:val="2"/>
          <w:sz w:val="30"/>
          <w:szCs w:val="30"/>
        </w:rPr>
      </w:pPr>
      <w:bookmarkStart w:id="24" w:name="_Toc389470859"/>
      <w:bookmarkEnd w:id="24"/>
      <w:r>
        <w:rPr>
          <w:rFonts w:hint="default" w:ascii="Times New Roman" w:hAnsi="Times New Roman" w:eastAsia="楷体_GB2312" w:cs="Times New Roman"/>
          <w:b w:val="0"/>
          <w:kern w:val="2"/>
          <w:sz w:val="30"/>
          <w:szCs w:val="30"/>
        </w:rPr>
        <w:t>（一）优化职业教育服务产业布局。</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大力发展现代农业职业教育。以培养新型职业农民为重点，建立公益性农民培养培训制度。推进农民继续教育工程，创新农学结合模式。以农业职业院校为主体，构建覆盖全国、服务完善的现代职业农民教育网络。依托农业高等学校、职业院校组建农业教育集团，培养多层次农业技术人才，参与农业技术推广体系建设。鼓励企业、行业协会、农业合作社举办或参与举办农业职业院校，参与涉农专业、课程和人才培养模式改革。提高农村基础教育、职业教育和成人继续教育统筹水平，促进农科教结合。推动一批县（区）在农村职业教育和成人教育改革发展方面发挥示范作用。</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提升服务工业转型升级能力。根据国家发展先进制造业的战略部署，按照现代生产方式和产业技术进步要求，重点培养掌握新技术、具备高技能的高素质技术技能人才。适应战略性新兴产业、现代能源产业、海洋产业、综合交通运输体系、生态环境保护等领域的发展需要，优先发展相关新兴专业，提高中国制造和中国装备的市场竞争力，加快完善人才支撑体系。</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加快培养服务现代服务业人才。根据服务业加快发展的趋势，逐步提高面向服务业的职业教育比重。重点加强服务金融、物流、商务、医疗、健康和高技术服务等现代服务业的职业教育，培养具有较高文化素质和技术技能素质的新型服务人才。深化文化艺术类职业教育改革，重点培养文化创意人才、基层文化人才，传承创新民族文化和民族工艺，推动文化产业成为国民经济支柱性产业。</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 xml:space="preserve">加紧满足社会建设和社会管理人才需求。发挥职业教育植根社区、服务社区的重要作用，推动职业院校面向基层，积极开设城镇管理、乡村建设、社会保障、社区工作、文化体育、环境卫生、老龄服务等专业，培养下得去、留得住的有文化、懂技术、善沟通的高素质社会管理和服务工作者。  </w:t>
      </w:r>
    </w:p>
    <w:tbl>
      <w:tblPr>
        <w:tblStyle w:val="10"/>
        <w:tblW w:w="853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386"/>
        <w:gridCol w:w="7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896" w:hRule="atLeast"/>
          <w:jc w:val="center"/>
        </w:trPr>
        <w:tc>
          <w:tcPr>
            <w:tcW w:w="8537"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firstLine="138" w:firstLineChars="49"/>
              <w:jc w:val="center"/>
              <w:rPr>
                <w:rFonts w:hint="default" w:ascii="Times New Roman" w:hAnsi="Times New Roman" w:eastAsia="仿宋_GB2312" w:cs="Times New Roman"/>
                <w:b/>
                <w:color w:val="000000"/>
                <w:kern w:val="0"/>
                <w:sz w:val="24"/>
                <w:szCs w:val="24"/>
                <w:bdr w:val="none" w:color="auto" w:sz="0" w:space="0"/>
              </w:rPr>
            </w:pPr>
            <w:r>
              <w:rPr>
                <w:rFonts w:hint="default" w:ascii="Times New Roman" w:hAnsi="Times New Roman" w:eastAsia="仿宋_GB2312" w:cs="Times New Roman"/>
                <w:b/>
                <w:kern w:val="2"/>
                <w:sz w:val="28"/>
                <w:szCs w:val="28"/>
                <w:bdr w:val="none" w:color="auto" w:sz="0" w:space="0"/>
                <w:lang w:val="en-US" w:eastAsia="zh-CN" w:bidi="ar"/>
              </w:rPr>
              <w:t xml:space="preserve">专栏3 </w:t>
            </w:r>
            <w:r>
              <w:rPr>
                <w:rFonts w:hint="eastAsia" w:ascii="仿宋_GB2312" w:hAnsi="Times New Roman" w:eastAsia="仿宋_GB2312" w:cs="仿宋_GB2312"/>
                <w:b/>
                <w:kern w:val="2"/>
                <w:sz w:val="28"/>
                <w:szCs w:val="28"/>
                <w:bdr w:val="none" w:color="auto" w:sz="0" w:space="0"/>
                <w:lang w:val="en-US" w:eastAsia="zh-CN" w:bidi="ar"/>
              </w:rPr>
              <w:t>经济和社会重点领域与技术技能人才培养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267" w:hRule="atLeast"/>
          <w:jc w:val="center"/>
        </w:trPr>
        <w:tc>
          <w:tcPr>
            <w:tcW w:w="1386"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现代农业</w:t>
            </w:r>
          </w:p>
        </w:tc>
        <w:tc>
          <w:tcPr>
            <w:tcW w:w="7151"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加强农业职业教育，培养适应农业产业化和科技进步的新型职业农民。加强适应现代农业生产方式的技术人才、流通人才、经营和管理人才培养，支持农业结构战略性调整。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532" w:hRule="atLeast"/>
          <w:jc w:val="center"/>
        </w:trPr>
        <w:tc>
          <w:tcPr>
            <w:tcW w:w="13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firstLine="120" w:firstLineChars="50"/>
              <w:jc w:val="center"/>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制造业</w:t>
            </w:r>
          </w:p>
        </w:tc>
        <w:tc>
          <w:tcPr>
            <w:tcW w:w="715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加快培养适应工业转型升级需要的技术技能人才，使劳动者素质的提升与制造技术、生产工艺和流程的现代化保持同步，实现产业核心技术技能的传承、积累和创新发展，促进制造业由大变强。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455" w:hRule="atLeast"/>
          <w:jc w:val="center"/>
        </w:trPr>
        <w:tc>
          <w:tcPr>
            <w:tcW w:w="13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服务业</w:t>
            </w:r>
          </w:p>
        </w:tc>
        <w:tc>
          <w:tcPr>
            <w:tcW w:w="715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面向金融服务、现代物流、商务服务、社会工作服务和高技术服务领域，培养具备高尚职业道德、较高人文素养、通晓国际标准和高超技术技能的专门人才，通过人才专业化提升服务业的竞争力。适应老龄服务事业和产业发展需要，加快相关人才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300" w:hRule="atLeast"/>
          <w:jc w:val="center"/>
        </w:trPr>
        <w:tc>
          <w:tcPr>
            <w:tcW w:w="13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战略性新兴产业</w:t>
            </w:r>
          </w:p>
        </w:tc>
        <w:tc>
          <w:tcPr>
            <w:tcW w:w="715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坚持自主创新带动与技术技能人才支撑并重的人才发展战略，加强战略性新兴产业相关专业建设，培养、储备应用先进技术、使用先进装备和具有工艺创新能力的高层次技术技能人才。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304" w:hRule="atLeast"/>
          <w:jc w:val="center"/>
        </w:trPr>
        <w:tc>
          <w:tcPr>
            <w:tcW w:w="13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能源产业</w:t>
            </w:r>
          </w:p>
        </w:tc>
        <w:tc>
          <w:tcPr>
            <w:tcW w:w="715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适应现代能源产业体系建设需要，加强新能源、可再生能源相关专业建设，加快节能环保、污染物防治与安全处置、资源回收与循环利用等相关产业技术技能人才培养。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297" w:hRule="atLeast"/>
          <w:jc w:val="center"/>
        </w:trPr>
        <w:tc>
          <w:tcPr>
            <w:tcW w:w="13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 xml:space="preserve">交通运输  </w:t>
            </w:r>
          </w:p>
        </w:tc>
        <w:tc>
          <w:tcPr>
            <w:tcW w:w="715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服务综合交通运输体系建设，改造提升交通运输相关专业，优化人才培养结构，加快轨道交通、民航、公共交通等急需技术技能人才培养，提高从业人员素质。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165" w:hRule="atLeast"/>
          <w:jc w:val="center"/>
        </w:trPr>
        <w:tc>
          <w:tcPr>
            <w:tcW w:w="13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海洋产业</w:t>
            </w:r>
          </w:p>
        </w:tc>
        <w:tc>
          <w:tcPr>
            <w:tcW w:w="715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加强海洋类职业院校和专业建设，加快海洋油气业、海洋渔业、海洋船舶业等海洋传统产业</w:t>
            </w:r>
            <w:r>
              <w:rPr>
                <w:rFonts w:hint="eastAsia" w:ascii="仿宋_GB2312" w:hAnsi="Times New Roman" w:eastAsia="仿宋_GB2312" w:cs="仿宋_GB2312"/>
                <w:color w:val="000000"/>
                <w:kern w:val="0"/>
                <w:sz w:val="24"/>
                <w:szCs w:val="24"/>
                <w:bdr w:val="none" w:color="auto" w:sz="0" w:space="0"/>
                <w:lang w:val="en-US" w:eastAsia="zh-CN" w:bidi="ar"/>
              </w:rPr>
              <w:t>，</w:t>
            </w:r>
            <w:r>
              <w:rPr>
                <w:rFonts w:hint="default" w:ascii="Times New Roman" w:hAnsi="Times New Roman" w:eastAsia="仿宋_GB2312" w:cs="Times New Roman"/>
                <w:color w:val="000000"/>
                <w:kern w:val="0"/>
                <w:sz w:val="24"/>
                <w:szCs w:val="24"/>
                <w:bdr w:val="none" w:color="auto" w:sz="0" w:space="0"/>
                <w:lang w:val="en-US" w:eastAsia="zh-CN" w:bidi="ar"/>
              </w:rPr>
              <w:t xml:space="preserve">海洋交通运输业、海洋旅游业等海洋服务业，以及海洋装备制造业等海洋新兴产业急需的技术技能人才培养，为发展壮大海洋经济和增强海洋开发利用能力提供人才支撑。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165" w:hRule="atLeast"/>
          <w:jc w:val="center"/>
        </w:trPr>
        <w:tc>
          <w:tcPr>
            <w:tcW w:w="13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社会建设与社会管理</w:t>
            </w:r>
          </w:p>
        </w:tc>
        <w:tc>
          <w:tcPr>
            <w:tcW w:w="715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支持职业院校围绕城乡发展、社会管理、社区服务、基层文化建设，培养基层管理和公共服务人才。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125" w:hRule="atLeast"/>
          <w:jc w:val="center"/>
        </w:trPr>
        <w:tc>
          <w:tcPr>
            <w:tcW w:w="13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文化产业</w:t>
            </w:r>
          </w:p>
        </w:tc>
        <w:tc>
          <w:tcPr>
            <w:tcW w:w="715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bdr w:val="none" w:color="auto" w:sz="0" w:space="0"/>
              </w:rPr>
            </w:pPr>
            <w:r>
              <w:rPr>
                <w:rFonts w:hint="default" w:ascii="Times New Roman" w:hAnsi="Times New Roman" w:eastAsia="仿宋_GB2312" w:cs="Times New Roman"/>
                <w:color w:val="000000"/>
                <w:kern w:val="0"/>
                <w:sz w:val="24"/>
                <w:szCs w:val="24"/>
                <w:bdr w:val="none" w:color="auto" w:sz="0" w:space="0"/>
                <w:lang w:val="en-US" w:eastAsia="zh-CN" w:bidi="ar"/>
              </w:rPr>
              <w:t>适应文化产业的发展需要，加强文化创意、影视制作、出版发行等重点文化产业技术技能人才的培养。依托职业教育体系保护、传承和创新民族传统工艺与非物质文化遗产，培养各民族文艺人才。</w:t>
            </w:r>
          </w:p>
        </w:tc>
      </w:tr>
    </w:tbl>
    <w:p>
      <w:pPr>
        <w:pStyle w:val="3"/>
        <w:widowControl/>
        <w:ind w:left="0" w:firstLine="600" w:firstLineChars="200"/>
        <w:rPr>
          <w:rFonts w:hint="default" w:ascii="Times New Roman" w:hAnsi="Times New Roman" w:eastAsia="楷体_GB2312" w:cs="Times New Roman"/>
          <w:b w:val="0"/>
          <w:kern w:val="2"/>
          <w:sz w:val="30"/>
          <w:szCs w:val="30"/>
        </w:rPr>
      </w:pPr>
      <w:bookmarkStart w:id="25" w:name="_Toc389470860"/>
      <w:bookmarkEnd w:id="25"/>
      <w:r>
        <w:rPr>
          <w:rFonts w:hint="default" w:ascii="Times New Roman" w:hAnsi="Times New Roman" w:eastAsia="楷体_GB2312" w:cs="Times New Roman"/>
          <w:b w:val="0"/>
          <w:kern w:val="2"/>
          <w:sz w:val="30"/>
          <w:szCs w:val="30"/>
        </w:rPr>
        <w:t>（二）统筹职业教育区域发展布局。</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优化职业教育区域布局。各地从本区域实际出发，规划职业教育体系布局结构。东部地区和大中城市要根据经济转型升级的需要，提高中等职业教育的核心竞争力和高等职业教育的现代化水平。中西部地区要多渠道筹措资金增强职业教育基础能力，以中等职业教育为重点普及高中阶段教育，提高服务当地特色优势产业的高等职业教育质量。民族地区要从加快区域经济社会发展和促进各民族交流交融的要求出发，加快职业教育发展步伐，着力优化结构、提高质量，加强双语、</w:t>
      </w:r>
      <w:r>
        <w:rPr>
          <w:rFonts w:hint="eastAsia" w:ascii="仿宋_GB2312" w:hAnsi="Times New Roman" w:eastAsia="仿宋_GB2312" w:cs="仿宋_GB2312"/>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双师型</w:t>
      </w:r>
      <w:r>
        <w:rPr>
          <w:rFonts w:hint="eastAsia" w:ascii="仿宋_GB2312" w:hAnsi="Times New Roman" w:eastAsia="仿宋_GB2312" w:cs="仿宋_GB2312"/>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教师队伍建设，提升职业教育服务当地特色优势产业、民族文化和民族工艺、基本公共服务、社会管理和贫困家庭脱贫致富的能力。</w:t>
      </w:r>
    </w:p>
    <w:p>
      <w:pPr>
        <w:keepNext w:val="0"/>
        <w:keepLines w:val="0"/>
        <w:widowControl w:val="0"/>
        <w:suppressLineNumbers w:val="0"/>
        <w:spacing w:before="0" w:beforeAutospacing="0" w:after="0" w:afterAutospacing="0" w:line="360" w:lineRule="auto"/>
        <w:ind w:left="0" w:right="0" w:firstLine="600" w:firstLineChars="200"/>
        <w:jc w:val="left"/>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 xml:space="preserve">优化职业教育城乡布局。充分发挥职业教育就业导向作用，引导农村剩余劳动力向城镇和非农产业有序转移。重点加强农民工、农民工子女和城市转岗就业人员的职业教育和培训。在城镇化建设中科学规划职业教育，院校布局更加贴近所服务的产业和社区。新增高等职业学校主要向中小城市布局。根据各主体功能区的定位，推动区域内职业院校科学定位，使每一所职业院校集中力量办好当地经济社会需要的特色优势专业（集群）。推动县区职业教育中心（中等职业学校）成为区域学历教育、技术推广、扶贫开发、劳动力转移培训和社会生活教育的开放平台，将服务网络延伸到社区、村庄、合作社、农场、企业。 </w:t>
      </w:r>
    </w:p>
    <w:p>
      <w:pPr>
        <w:pStyle w:val="3"/>
        <w:widowControl/>
        <w:ind w:left="0" w:firstLine="450" w:firstLineChars="150"/>
        <w:rPr>
          <w:rFonts w:hint="default" w:ascii="Times New Roman" w:hAnsi="Times New Roman" w:eastAsia="楷体_GB2312" w:cs="Times New Roman"/>
          <w:b/>
          <w:kern w:val="2"/>
          <w:sz w:val="30"/>
          <w:szCs w:val="30"/>
        </w:rPr>
      </w:pPr>
      <w:bookmarkStart w:id="26" w:name="_Toc389470861"/>
      <w:bookmarkEnd w:id="26"/>
      <w:r>
        <w:rPr>
          <w:rFonts w:hint="default" w:ascii="Times New Roman" w:hAnsi="Times New Roman" w:eastAsia="楷体_GB2312" w:cs="Times New Roman"/>
          <w:b w:val="0"/>
          <w:kern w:val="2"/>
          <w:sz w:val="30"/>
          <w:szCs w:val="30"/>
        </w:rPr>
        <w:t>（三）加快民办职业教育发展步伐。</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完善鼓励社会力量办学的政策环境。充分发挥社会力量举办职业教育对加快建立现代职业教育体系、激发职业教育发展活力的重要作用。完善各类职业院校设置标准，建立公开透明规范的民办职业教育准入、审批制度，稳步扩大优质民办教育规模。鼓励企业举办或参与举办职业院校，到2020</w:t>
      </w:r>
      <w:r>
        <w:rPr>
          <w:rFonts w:hint="eastAsia" w:ascii="仿宋_GB2312" w:hAnsi="Times New Roman" w:eastAsia="仿宋_GB2312" w:cs="仿宋_GB2312"/>
          <w:kern w:val="2"/>
          <w:sz w:val="30"/>
          <w:szCs w:val="30"/>
          <w:lang w:val="en-US" w:eastAsia="zh-CN" w:bidi="ar"/>
        </w:rPr>
        <w:t>年，大中型企业参与职业教育办学的比例达到</w:t>
      </w:r>
      <w:r>
        <w:rPr>
          <w:rFonts w:hint="default" w:ascii="Times New Roman" w:hAnsi="Times New Roman" w:eastAsia="仿宋_GB2312" w:cs="Times New Roman"/>
          <w:kern w:val="2"/>
          <w:sz w:val="30"/>
          <w:szCs w:val="30"/>
          <w:lang w:val="en-US" w:eastAsia="zh-CN" w:bidi="ar"/>
        </w:rPr>
        <w:t>80%</w:t>
      </w:r>
      <w:r>
        <w:rPr>
          <w:rFonts w:hint="eastAsia" w:ascii="仿宋_GB2312" w:hAnsi="Times New Roman" w:eastAsia="仿宋_GB2312" w:cs="仿宋_GB2312"/>
          <w:kern w:val="2"/>
          <w:sz w:val="30"/>
          <w:szCs w:val="30"/>
          <w:lang w:val="en-US" w:eastAsia="zh-CN" w:bidi="ar"/>
        </w:rPr>
        <w:t>以上。各地要把社会力量举办的职业院校纳入教育发展规划，推动民办职业院校分类管理试点，健全政府补贴、购买服务、助学贷款、基金奖励、捐资激励等制度，鼓励社会力量参与职业教育办学。对办学规范、管理严格的民办职业院校，逐步实行在核定办学规模内自主确定招生范围和年度招生计划的制度。</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创新民办职业教育办学模式。支持发展一批品牌化、连锁化和中高职衔接的民办职业教育集团。积极支持各类办学主体通过独资、合资、合作等多种形式举办民办职业教育，探索发展股份制、混合所有制职业院校。开展社会力量参与公办职业院校改革建立混合所有制职业院校试点，允许社会力量通过购买、承租、委托管理等方式改造办学活力不足的公办职业院校。鼓励民间资本与公办优质教育资源嫁接合作在经济欠发达地区扩大优质职业教育资源。鼓励企业和公办职业院校合作举办混合所有制性质的二级学院。允许社会力量以资本、知识、技术、管理等要素参与办学并享有相应权利，探索在民办职业院校实行职工持股。鼓励专业技术人才、高技能人才在职业院校建设股份合作制的工作室。</w:t>
      </w:r>
    </w:p>
    <w:p>
      <w:pPr>
        <w:pStyle w:val="3"/>
        <w:widowControl/>
        <w:ind w:left="0" w:firstLine="600" w:firstLineChars="200"/>
        <w:rPr>
          <w:rFonts w:hint="default" w:ascii="Times New Roman" w:hAnsi="Times New Roman" w:eastAsia="楷体_GB2312" w:cs="Times New Roman"/>
          <w:b w:val="0"/>
          <w:kern w:val="2"/>
          <w:sz w:val="30"/>
          <w:szCs w:val="30"/>
        </w:rPr>
      </w:pPr>
      <w:bookmarkStart w:id="27" w:name="_Toc389470862"/>
      <w:bookmarkEnd w:id="27"/>
      <w:r>
        <w:rPr>
          <w:rFonts w:hint="default" w:ascii="Times New Roman" w:hAnsi="Times New Roman" w:eastAsia="楷体_GB2312" w:cs="Times New Roman"/>
          <w:b w:val="0"/>
          <w:kern w:val="2"/>
          <w:sz w:val="30"/>
          <w:szCs w:val="30"/>
        </w:rPr>
        <w:t>（四）推动职业教育集团化发展。</w:t>
      </w:r>
    </w:p>
    <w:p>
      <w:pPr>
        <w:keepNext w:val="0"/>
        <w:keepLines w:val="0"/>
        <w:widowControl w:val="0"/>
        <w:suppressLineNumbers w:val="0"/>
        <w:spacing w:before="120" w:beforeAutospacing="0" w:after="0" w:afterAutospacing="0" w:line="360" w:lineRule="auto"/>
        <w:ind w:left="0" w:right="0" w:firstLine="600" w:firstLineChars="200"/>
        <w:jc w:val="left"/>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科学规划职业教育集团发展。职业教育集团化发展是政府主导、行业指导、企业参与的职业教育办学体制的重要实现形式，对促进教育链和产业链有机融合有重要作用。完善现有职业教育集团的治理结构、发展机制，逐步扩大各类职业院校参与率，到2020</w:t>
      </w:r>
      <w:r>
        <w:rPr>
          <w:rFonts w:hint="eastAsia" w:ascii="仿宋_GB2312" w:hAnsi="Times New Roman" w:eastAsia="仿宋_GB2312" w:cs="仿宋_GB2312"/>
          <w:kern w:val="2"/>
          <w:sz w:val="30"/>
          <w:szCs w:val="30"/>
          <w:lang w:val="en-US" w:eastAsia="zh-CN" w:bidi="ar"/>
        </w:rPr>
        <w:t>年基本覆盖所有职业院校，初步建成</w:t>
      </w:r>
      <w:r>
        <w:rPr>
          <w:rFonts w:hint="default" w:ascii="Times New Roman" w:hAnsi="Times New Roman" w:eastAsia="仿宋_GB2312" w:cs="Times New Roman"/>
          <w:kern w:val="2"/>
          <w:sz w:val="30"/>
          <w:szCs w:val="30"/>
          <w:lang w:val="en-US" w:eastAsia="zh-CN" w:bidi="ar"/>
        </w:rPr>
        <w:t>300</w:t>
      </w:r>
      <w:r>
        <w:rPr>
          <w:rFonts w:hint="eastAsia" w:ascii="仿宋_GB2312" w:hAnsi="Times New Roman" w:eastAsia="仿宋_GB2312" w:cs="仿宋_GB2312"/>
          <w:kern w:val="2"/>
          <w:sz w:val="30"/>
          <w:szCs w:val="30"/>
          <w:lang w:val="en-US" w:eastAsia="zh-CN" w:bidi="ar"/>
        </w:rPr>
        <w:t>个富有活力和引领作用的骨干职业教育集团。开展多元投资主体依法共建职业教育集团的改革试点。</w:t>
      </w:r>
    </w:p>
    <w:p>
      <w:pPr>
        <w:keepNext w:val="0"/>
        <w:keepLines w:val="0"/>
        <w:widowControl w:val="0"/>
        <w:suppressLineNumbers w:val="0"/>
        <w:spacing w:before="120" w:beforeAutospacing="0" w:after="0" w:afterAutospacing="0" w:line="360" w:lineRule="auto"/>
        <w:ind w:left="0" w:right="0" w:firstLine="600" w:firstLineChars="200"/>
        <w:jc w:val="left"/>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创新职业教育集团的发展机制。按照市场导向、利益共享、合作互赢的原则，吸引各类主体参与职业教育集团建设。通过中央企业和行业龙头企业牵头、骨干职业院校牵头、行业和职业院校联合、地方政府整合职业教育资源、区域内职业院校资源共享等方式多样化发展职业教育集团。鼓励各地在重大产业建设工程中，同步规划覆盖全产业链的职业教育集团。</w:t>
      </w:r>
    </w:p>
    <w:p>
      <w:pPr>
        <w:keepNext w:val="0"/>
        <w:keepLines w:val="0"/>
        <w:widowControl w:val="0"/>
        <w:suppressLineNumbers w:val="0"/>
        <w:spacing w:before="120" w:beforeAutospacing="0" w:after="0" w:afterAutospacing="0" w:line="360" w:lineRule="auto"/>
        <w:ind w:left="0" w:right="0" w:firstLine="600" w:firstLineChars="200"/>
        <w:jc w:val="left"/>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提升职业教育集团的发展活力。研究制定促进职业教育集团发展的支持政策。支持符合条件的职业教育集团统筹中高职衔接、专业课程建设、实训基地建设、教师队伍建设。鼓励通过领导干部交叉任职、共建技术创新平台和生产性实训基地、建立混合所有制职业院校等方式强化集团内部的利益纽带。鼓励行业特色明显的普通高等学校参与职业教育集团。鼓励职业教育集团与跨国企业、境外教育机构等开展合作。</w:t>
      </w:r>
    </w:p>
    <w:p>
      <w:pPr>
        <w:pStyle w:val="3"/>
        <w:widowControl/>
        <w:ind w:left="0" w:firstLine="600" w:firstLineChars="200"/>
        <w:rPr>
          <w:rFonts w:hint="default" w:ascii="Times New Roman" w:hAnsi="Times New Roman" w:eastAsia="楷体_GB2312" w:cs="Times New Roman"/>
          <w:b/>
          <w:kern w:val="2"/>
          <w:sz w:val="30"/>
          <w:szCs w:val="30"/>
        </w:rPr>
      </w:pPr>
      <w:bookmarkStart w:id="28" w:name="_Toc389470863"/>
      <w:bookmarkEnd w:id="28"/>
      <w:r>
        <w:rPr>
          <w:rFonts w:hint="default" w:ascii="Times New Roman" w:hAnsi="Times New Roman" w:eastAsia="楷体_GB2312" w:cs="Times New Roman"/>
          <w:b w:val="0"/>
          <w:kern w:val="2"/>
          <w:sz w:val="30"/>
          <w:szCs w:val="30"/>
        </w:rPr>
        <w:t>（五）加强中等职业教育基础地位。</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巩固提高中等职业教育。中等职业教育是公共服务体系的重要组成部分。将普及高中阶段教育重点放在中等职业教育。坚持以就业为导向办好中等职业教育，按照系统培养、全面培养、终身教育的理念，加强思想道德和职业道德教育，强化基础文化和体育、艺术课程，加强新技术教育和技能训练，为学生全面成才、持续发展奠定扎实基础。继续探索举办职业教育和普通教育融通的综合高中。</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调整优化中等职业教育布局。各地要根据本地产业、人口、教育实际和城镇化进程提出中等职业教育规划布局指导意见，指导各地从实际出发逐步优化中等职业教育学校布局和专业。鼓励优质学校通过兼并、托管、合作办学等形式，整合办学资源；对定位不明确、办学质量低、服务能力弱的学校实行调整改造或兼并重组。推动各项要素资源优化整合，逐步提高中等职业学校办学水平。</w:t>
      </w:r>
    </w:p>
    <w:p>
      <w:pPr>
        <w:pStyle w:val="3"/>
        <w:widowControl/>
        <w:ind w:left="0" w:firstLine="600" w:firstLineChars="200"/>
        <w:rPr>
          <w:rFonts w:hint="default" w:ascii="Times New Roman" w:hAnsi="Times New Roman" w:eastAsia="楷体_GB2312" w:cs="Times New Roman"/>
          <w:b/>
          <w:kern w:val="2"/>
          <w:sz w:val="30"/>
          <w:szCs w:val="30"/>
        </w:rPr>
      </w:pPr>
      <w:bookmarkStart w:id="29" w:name="_Toc389470864"/>
      <w:bookmarkEnd w:id="29"/>
      <w:r>
        <w:rPr>
          <w:rFonts w:hint="default" w:ascii="Times New Roman" w:hAnsi="Times New Roman" w:eastAsia="楷体_GB2312" w:cs="Times New Roman"/>
          <w:b w:val="0"/>
          <w:kern w:val="2"/>
          <w:sz w:val="30"/>
          <w:szCs w:val="30"/>
        </w:rPr>
        <w:t>（六）优化高等职业教育结构。</w:t>
      </w:r>
    </w:p>
    <w:p>
      <w:pPr>
        <w:pStyle w:val="15"/>
        <w:keepNext w:val="0"/>
        <w:keepLines w:val="0"/>
        <w:widowControl/>
        <w:suppressLineNumbers w:val="0"/>
        <w:ind w:left="0" w:firstLine="600"/>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0"/>
          <w:szCs w:val="30"/>
        </w:rPr>
        <w:t xml:space="preserve">推进高等学校分类管理。建立高等学校分类体系，探索对研究类型高校、应用技术类型高校、高等职业学校等不同类型的高等学校实行分类设置、评价、指导、评估、拨款制度。鼓励举办应用技术类型高校，将其建设成为直接服务区域经济社会发展，以举办本科职业教育为重点，融职业教育、高等教育和继续教育于一体的新型大学。原则上现有专科高等职业学校不升格为或并入普通高等学校。各地科学规划区域内高等教育布局结构，根据国家的有关规定设置专科阶段高等学校。 </w:t>
      </w:r>
    </w:p>
    <w:p>
      <w:pPr>
        <w:pStyle w:val="15"/>
        <w:keepNext w:val="0"/>
        <w:keepLines w:val="0"/>
        <w:widowControl/>
        <w:suppressLineNumbers w:val="0"/>
        <w:ind w:left="0" w:firstLine="6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引导一批本科高等学校转型发展。支持定位于服务行业和地方经济社会发展的本科高等学校实行综合改革，向应用技术类型高校转型发展。鼓励独立学院转设为独立设置的学校时定位为应用技术类型高校。鼓励本科高等学校与示范性高等职业学校通过合作办学、联合培养等方式培养高层次应用技术人才。应用技术类型高校同时招收在职优秀技术技能人才、职业院校优秀毕业生和普通高中、综合高中毕业生。各地采取计划、财政、评估等综合性调控政策引导地方本科高等学校转型发展。</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加快高等职业学校改革步伐。深化高等职业学校治理结构、专业体系、培养模式、招生入学制度等关键领域改革，提升办学活力和人才培养质量。根据区域发展需要设立的高等职业学校，要强化服务社区导向，为社区提供职业教育、继续教育和普通高等学校基础课程。行业特色明显的高等职业学校，要增强服务产业导向，发挥提升产业竞争力的作用。</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探索举办特色学院。鼓励大型企业、科研机构和行业协会举办或参与举办以服务产业链为目标，主要依托企业开展教学实训，人才培养和职工培训融为一体，产教、科教融合发展，专业特色明显的特色学院，新增一批优质高等职业教育资源。</w:t>
      </w:r>
    </w:p>
    <w:p>
      <w:pPr>
        <w:pStyle w:val="3"/>
        <w:widowControl/>
        <w:ind w:left="0" w:firstLine="600" w:firstLineChars="200"/>
        <w:rPr>
          <w:rFonts w:hint="default" w:ascii="Times New Roman" w:hAnsi="Times New Roman" w:eastAsia="楷体_GB2312" w:cs="Times New Roman"/>
          <w:b/>
          <w:kern w:val="2"/>
          <w:sz w:val="30"/>
          <w:szCs w:val="30"/>
        </w:rPr>
      </w:pPr>
      <w:bookmarkStart w:id="30" w:name="_Toc389470865"/>
      <w:bookmarkEnd w:id="30"/>
      <w:r>
        <w:rPr>
          <w:rFonts w:hint="default" w:ascii="Times New Roman" w:hAnsi="Times New Roman" w:eastAsia="楷体_GB2312" w:cs="Times New Roman"/>
          <w:b w:val="0"/>
          <w:kern w:val="2"/>
          <w:sz w:val="30"/>
          <w:szCs w:val="30"/>
        </w:rPr>
        <w:t>（七）完善职业人才衔接培养体系。</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加强中高职衔接。推进中等和高等职业教育培养目标、专业设置、课程体系、教学过程等方面的衔接。探索对口合作、集团化发展等多形式的衔接方式。逐步扩大职业院校自主招生权和学习者自主选择权，形成多种方式、多次选择的衔接机制和衔接路径。充分发挥开放大学在中高职衔接中的重要作用。</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完善五年制高职。以初中为起点的五年制高等职业学校，主要面向学前教育、护理、健康服务、社区服务等特殊专业领域，培养兼具较高文化素质和专业技术技能的专门人才。国家发布五年制高职专业目录。支持办好重点培养产业发展和社会建设急需人才的五年制高等职业学校。</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强化学历、学位和职业资格衔接。研究探索符合职业教育特点的学位制度。完善学历学位证书和资格证书“</w:t>
      </w:r>
      <w:r>
        <w:rPr>
          <w:rFonts w:hint="eastAsia" w:ascii="仿宋_GB2312" w:hAnsi="Times New Roman" w:eastAsia="仿宋_GB2312" w:cs="仿宋_GB2312"/>
          <w:kern w:val="2"/>
          <w:sz w:val="30"/>
          <w:szCs w:val="30"/>
          <w:lang w:val="en-US" w:eastAsia="zh-CN" w:bidi="ar"/>
        </w:rPr>
        <w:t>双证书</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制度，逐步实现职业教育学历学位证书体系、专业学位研究生教育与职业资格证书体系的有机衔接，探索建立各级职业教育与普通教育相衔接的制度。完善职业院校合格毕业生取得相应职业资格证书的办法。</w:t>
      </w:r>
    </w:p>
    <w:p>
      <w:pPr>
        <w:pStyle w:val="3"/>
        <w:widowControl/>
        <w:ind w:left="0" w:firstLine="600" w:firstLineChars="200"/>
        <w:rPr>
          <w:rFonts w:hint="default" w:ascii="Times New Roman" w:hAnsi="Times New Roman" w:eastAsia="楷体_GB2312" w:cs="Times New Roman"/>
          <w:b/>
          <w:kern w:val="2"/>
          <w:sz w:val="30"/>
          <w:szCs w:val="30"/>
        </w:rPr>
      </w:pPr>
      <w:bookmarkStart w:id="31" w:name="_Toc389470866"/>
      <w:bookmarkEnd w:id="31"/>
      <w:r>
        <w:rPr>
          <w:rFonts w:hint="default" w:ascii="Times New Roman" w:hAnsi="Times New Roman" w:eastAsia="楷体_GB2312" w:cs="Times New Roman"/>
          <w:b w:val="0"/>
          <w:kern w:val="2"/>
          <w:sz w:val="30"/>
          <w:szCs w:val="30"/>
        </w:rPr>
        <w:t>（八）建立职业教育质量保障体系。</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完善校企合作、工学结合的人才培养体系。将工学结合贯穿职业教育教学全过程，学生从入学开始就接受相应的动手和实践课程，并根据培养目标同步深化文化、技术和技能学习与训练，逐步实现就业需求和人才培养的有机衔接。加强科学素养、技术思维和实践能力教育，加强实验、实训、实习和研究性学习环节。加强工程实践中心、实训基地和企业实习基地的建设，保障学习者有质量的实习实训需求。强化实习实训环节的评价考核。在有条件的企业试行职业院校和企业联合招生、联合培养的学徒制，企业根据用工需求与职业院校实行联合招生（招工）、联合培养。完善支持政策，通过政府、企业、社会、家庭等多渠道筹集学生（学徒）培养培训经费。</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加强职业院校德育工作。积极培育和践行社会主义核心价值观。弘扬民族优秀文化和现代工业文明，传承民族工艺文化中以德为先、追求技艺、重视传承的优良传统。推进产业文化进教育、企业文化进校园、职业文化进课堂，将生态环保、绿色节能、清洁生产、循环经济等理念融入到教育过程，开展丰富多彩的校园文化活动，建设融合产业文化的校园文化。切实加强职业道德教育，注重用优秀毕业生先进事迹教育引导在校学生，培养具有现代职业理念和良好职业操守的高素质人才。鼓励企业与职业院校开展多种形式的文化实践活动。</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健全职业教育质量评价制度。以学习者的职业道德、技术技能水平和就业质量为核心，建立职业教育质量评价体系。完善学校、行业、企业、研究机构和其他社会组织共同参与的职业教育质量评价机制。各地要加强对职业教育的督导和评估，开展以人才培养质量和服务贡献为主要内容的职业院校绩效考核。职业院校要建立内部质量评价制度，强化质量保障体系建设。注重发挥行业作用，支持行业协会开展职业院校人才培养质量评估，提高人才培养质量和</w:t>
      </w:r>
      <w:r>
        <w:rPr>
          <w:rFonts w:hint="eastAsia" w:ascii="仿宋_GB2312" w:hAnsi="Times New Roman" w:eastAsia="仿宋_GB2312" w:cs="仿宋_GB2312"/>
          <w:kern w:val="2"/>
          <w:sz w:val="30"/>
          <w:szCs w:val="30"/>
          <w:lang w:val="en-US" w:eastAsia="zh-CN" w:bidi="ar"/>
        </w:rPr>
        <w:t>结</w:t>
      </w:r>
      <w:r>
        <w:rPr>
          <w:rFonts w:hint="default" w:ascii="Times New Roman" w:hAnsi="Times New Roman" w:eastAsia="仿宋_GB2312" w:cs="Times New Roman"/>
          <w:kern w:val="2"/>
          <w:sz w:val="30"/>
          <w:szCs w:val="30"/>
          <w:lang w:val="en-US" w:eastAsia="zh-CN" w:bidi="ar"/>
        </w:rPr>
        <w:t>构与行业需求的匹配度。鼓励企业、用人单位开展毕业生就业质量、满意度等评价。积极支持各类专业组织等第三方机构开展质量评估。</w:t>
      </w:r>
    </w:p>
    <w:p>
      <w:pPr>
        <w:pStyle w:val="3"/>
        <w:widowControl/>
        <w:ind w:left="0" w:firstLine="600" w:firstLineChars="200"/>
        <w:rPr>
          <w:rFonts w:hint="default" w:ascii="Times New Roman" w:hAnsi="Times New Roman" w:eastAsia="楷体_GB2312" w:cs="Times New Roman"/>
          <w:b w:val="0"/>
          <w:kern w:val="2"/>
          <w:sz w:val="30"/>
          <w:szCs w:val="30"/>
        </w:rPr>
      </w:pPr>
      <w:bookmarkStart w:id="32" w:name="_Toc389470867"/>
      <w:bookmarkEnd w:id="32"/>
      <w:r>
        <w:rPr>
          <w:rFonts w:hint="default" w:ascii="Times New Roman" w:hAnsi="Times New Roman" w:eastAsia="楷体_GB2312" w:cs="Times New Roman"/>
          <w:b w:val="0"/>
          <w:kern w:val="2"/>
          <w:sz w:val="30"/>
          <w:szCs w:val="30"/>
        </w:rPr>
        <w:t>（九）改革职业教育专业课程体系。</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建立产业结构调整驱动专业改革机制。办好特色优势专业，压缩供过于求的专业，调整改造办学层次、办学质量与需求不对接的专业，建立面向市场、优胜劣汰的专业设置机制。职业院校可以在政府和行业的指导下对接职业和岗位需求自主设置专业。支持职业院校设置反映未来产业变革和技术进步趋势的新专业。到2015</w:t>
      </w:r>
      <w:r>
        <w:rPr>
          <w:rFonts w:hint="eastAsia" w:ascii="仿宋_GB2312" w:hAnsi="Times New Roman" w:eastAsia="仿宋_GB2312" w:cs="仿宋_GB2312"/>
          <w:kern w:val="2"/>
          <w:sz w:val="30"/>
          <w:szCs w:val="30"/>
          <w:lang w:val="en-US" w:eastAsia="zh-CN" w:bidi="ar"/>
        </w:rPr>
        <w:t>年，基本完成新一轮专业设置改革，学校特色优势专业集中度显著提高。扩大学生选专业、转专业的自主权。建立专业设置信息发布平台和动态调整预警机制。探索建立区域中高职专业设置管理的宏观协调机制。</w:t>
      </w:r>
    </w:p>
    <w:p>
      <w:pPr>
        <w:keepNext w:val="0"/>
        <w:keepLines w:val="0"/>
        <w:widowControl w:val="0"/>
        <w:suppressLineNumbers w:val="0"/>
        <w:spacing w:before="0" w:beforeAutospacing="0" w:after="0" w:afterAutospacing="0" w:line="360" w:lineRule="auto"/>
        <w:ind w:left="0" w:right="0" w:firstLine="600" w:firstLineChars="200"/>
        <w:jc w:val="left"/>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建立产业技术进步驱动课程改革机制。适应经济发展、产业升级和技术进步需要，建立国家职业标准与专业教学标准联动开发机制。按照科技发展水平和职业资格标准设计课程结构和内容。通过用人单位直接参与课程设计、评价和国际先进课程的引进，提高职业教育对技术进步的反应速度。到2020</w:t>
      </w:r>
      <w:r>
        <w:rPr>
          <w:rFonts w:hint="eastAsia" w:ascii="仿宋_GB2312" w:hAnsi="Times New Roman" w:eastAsia="仿宋_GB2312" w:cs="仿宋_GB2312"/>
          <w:kern w:val="2"/>
          <w:sz w:val="30"/>
          <w:szCs w:val="30"/>
          <w:lang w:val="en-US" w:eastAsia="zh-CN" w:bidi="ar"/>
        </w:rPr>
        <w:t>年，基本形成对接紧密、特色鲜明、动态调整的职业教育课程体系。</w:t>
      </w:r>
    </w:p>
    <w:p>
      <w:pPr>
        <w:keepNext w:val="0"/>
        <w:keepLines w:val="0"/>
        <w:widowControl w:val="0"/>
        <w:suppressLineNumbers w:val="0"/>
        <w:spacing w:before="0" w:beforeAutospacing="0" w:after="0" w:afterAutospacing="0" w:line="360" w:lineRule="auto"/>
        <w:ind w:left="0" w:right="0" w:firstLine="600" w:firstLineChars="200"/>
        <w:jc w:val="left"/>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建立真实应用驱动教学改革机制。职业院校按照真实环境真学真做掌握真本领的要求开展教学活动。推动教学内容改革，按照企业真实的技术和装备水平设计理论、技术和实训课程；推动教学流程改革，依据生产服务的真实业务流程设计教学空间和课程模块；推动教学方法改革，通过真实案例、真实项目激发学习者的学习兴趣、探究兴趣和职业兴趣。</w:t>
      </w:r>
    </w:p>
    <w:p>
      <w:pPr>
        <w:pStyle w:val="3"/>
        <w:widowControl/>
        <w:ind w:left="0" w:firstLine="600" w:firstLineChars="200"/>
        <w:rPr>
          <w:rFonts w:hint="default" w:ascii="Times New Roman" w:hAnsi="Times New Roman" w:eastAsia="楷体_GB2312" w:cs="Times New Roman"/>
          <w:b/>
          <w:kern w:val="2"/>
          <w:sz w:val="30"/>
          <w:szCs w:val="30"/>
        </w:rPr>
      </w:pPr>
      <w:bookmarkStart w:id="33" w:name="_Toc389470868"/>
      <w:bookmarkEnd w:id="33"/>
      <w:r>
        <w:rPr>
          <w:rFonts w:hint="default" w:ascii="Times New Roman" w:hAnsi="Times New Roman" w:eastAsia="楷体_GB2312" w:cs="Times New Roman"/>
          <w:b w:val="0"/>
          <w:kern w:val="2"/>
          <w:sz w:val="30"/>
          <w:szCs w:val="30"/>
        </w:rPr>
        <w:t>（十）完善“</w:t>
      </w:r>
      <w:r>
        <w:rPr>
          <w:rFonts w:hint="eastAsia" w:ascii="楷体_GB2312" w:hAnsi="Times New Roman" w:eastAsia="楷体_GB2312" w:cs="楷体_GB2312"/>
          <w:b w:val="0"/>
          <w:kern w:val="2"/>
          <w:sz w:val="30"/>
          <w:szCs w:val="30"/>
        </w:rPr>
        <w:t>双师型</w:t>
      </w:r>
      <w:r>
        <w:rPr>
          <w:rFonts w:hint="default" w:ascii="Times New Roman" w:hAnsi="Times New Roman" w:eastAsia="楷体_GB2312" w:cs="Times New Roman"/>
          <w:b w:val="0"/>
          <w:kern w:val="2"/>
          <w:sz w:val="30"/>
          <w:szCs w:val="30"/>
        </w:rPr>
        <w:t>”</w:t>
      </w:r>
      <w:r>
        <w:rPr>
          <w:rFonts w:hint="eastAsia" w:ascii="楷体_GB2312" w:hAnsi="Times New Roman" w:eastAsia="楷体_GB2312" w:cs="楷体_GB2312"/>
          <w:b w:val="0"/>
          <w:kern w:val="2"/>
          <w:sz w:val="30"/>
          <w:szCs w:val="30"/>
        </w:rPr>
        <w:t>教师培养培训体系。</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改革教师资格和编制制度。根据职业教育的特点完善教师资格标准、专业技术职务（职称）评聘办法。探索在职业学校设置正高级教师职务（职称）。各地要比照普通高中和普通高等学校，根据职业教育特点核定公办职业院校教职工编制。新增教师编制主要用于引进有实践经验的专业教师，到2020</w:t>
      </w:r>
      <w:r>
        <w:rPr>
          <w:rFonts w:hint="eastAsia" w:ascii="仿宋_GB2312" w:hAnsi="Times New Roman" w:eastAsia="仿宋_GB2312" w:cs="仿宋_GB2312"/>
          <w:kern w:val="2"/>
          <w:sz w:val="30"/>
          <w:szCs w:val="30"/>
          <w:lang w:val="en-US" w:eastAsia="zh-CN" w:bidi="ar"/>
        </w:rPr>
        <w:t>年，有实践经验的专兼职教师占专业教师总数的比例达到</w:t>
      </w:r>
      <w:r>
        <w:rPr>
          <w:rFonts w:hint="default" w:ascii="Times New Roman" w:hAnsi="Times New Roman" w:eastAsia="仿宋_GB2312" w:cs="Times New Roman"/>
          <w:kern w:val="2"/>
          <w:sz w:val="30"/>
          <w:szCs w:val="30"/>
          <w:lang w:val="en-US" w:eastAsia="zh-CN" w:bidi="ar"/>
        </w:rPr>
        <w:t>60%</w:t>
      </w:r>
      <w:r>
        <w:rPr>
          <w:rFonts w:hint="eastAsia" w:ascii="仿宋_GB2312" w:hAnsi="Times New Roman" w:eastAsia="仿宋_GB2312" w:cs="仿宋_GB2312"/>
          <w:kern w:val="2"/>
          <w:sz w:val="30"/>
          <w:szCs w:val="30"/>
          <w:lang w:val="en-US" w:eastAsia="zh-CN" w:bidi="ar"/>
        </w:rPr>
        <w:t>以上。</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改革职业院校用人制度。落实职业院校用人自主权，鼓励职业院校按照国家相关规定聘请企业管理人员、工程技术人员和能工巧匠担任专兼职教师。建立符合职业院校特点的教师绩效评价标准，绩效工资内部分配向“</w:t>
      </w:r>
      <w:r>
        <w:rPr>
          <w:rFonts w:hint="eastAsia" w:ascii="仿宋_GB2312" w:hAnsi="Times New Roman" w:eastAsia="仿宋_GB2312" w:cs="仿宋_GB2312"/>
          <w:kern w:val="2"/>
          <w:sz w:val="30"/>
          <w:szCs w:val="30"/>
          <w:lang w:val="en-US" w:eastAsia="zh-CN" w:bidi="ar"/>
        </w:rPr>
        <w:t>双师型</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教师适当倾斜。探索建立行业企业举办的职业院校和民办职业院校教师年金制度。</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完善教师培养制度。加强职业技术师范院校建设。依托高水平学校和大中型企业建立“</w:t>
      </w:r>
      <w:r>
        <w:rPr>
          <w:rFonts w:hint="eastAsia" w:ascii="仿宋_GB2312" w:hAnsi="Times New Roman" w:eastAsia="仿宋_GB2312" w:cs="仿宋_GB2312"/>
          <w:kern w:val="2"/>
          <w:sz w:val="30"/>
          <w:szCs w:val="30"/>
          <w:lang w:val="en-US" w:eastAsia="zh-CN" w:bidi="ar"/>
        </w:rPr>
        <w:t>双师型</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职业教育师资培养基地。探索职业教育师资定向培养制度和</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学历教育</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企业实训</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的培养办法。加强职业教育教师队伍师德建设，增强教师从事职业教育的荣誉感和责任感。</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完善教师培训制度。建立职业院校教师轮训制度，促进职业院校教师专业化发展。建立一批职业教育教师实践企业基地，实行新任教师先实践、后上岗和教师定期实践制度，专业教师每两年专业实践的时间累计不少于两个月。鼓励职业院校教师加入行业协会组织。</w:t>
      </w:r>
    </w:p>
    <w:p>
      <w:pPr>
        <w:keepNext/>
        <w:keepLines/>
        <w:widowControl w:val="0"/>
        <w:suppressLineNumbers w:val="0"/>
        <w:spacing w:before="260" w:beforeAutospacing="0" w:after="260" w:afterAutospacing="0" w:line="415" w:lineRule="auto"/>
        <w:ind w:left="0" w:right="0" w:firstLine="600" w:firstLineChars="200"/>
        <w:jc w:val="both"/>
        <w:outlineLvl w:val="1"/>
        <w:rPr>
          <w:rFonts w:hint="default" w:ascii="Times New Roman" w:hAnsi="Times New Roman" w:eastAsia="楷体_GB2312" w:cs="Times New Roman"/>
          <w:b/>
          <w:kern w:val="2"/>
          <w:sz w:val="30"/>
          <w:szCs w:val="30"/>
        </w:rPr>
      </w:pPr>
      <w:bookmarkStart w:id="34" w:name="_Toc381884946"/>
      <w:bookmarkEnd w:id="34"/>
      <w:bookmarkStart w:id="35" w:name="_Toc389470869"/>
      <w:r>
        <w:rPr>
          <w:rFonts w:hint="default" w:ascii="Times New Roman" w:hAnsi="Times New Roman" w:eastAsia="楷体_GB2312" w:cs="Times New Roman"/>
          <w:kern w:val="2"/>
          <w:sz w:val="30"/>
          <w:szCs w:val="30"/>
          <w:lang w:val="en-US" w:eastAsia="zh-CN" w:bidi="ar"/>
        </w:rPr>
        <w:t>（十一）加速数字化、信息化进程。</w:t>
      </w:r>
      <w:bookmarkEnd w:id="35"/>
    </w:p>
    <w:p>
      <w:pPr>
        <w:keepNext w:val="0"/>
        <w:keepLines w:val="0"/>
        <w:widowControl w:val="0"/>
        <w:suppressLineNumbers w:val="0"/>
        <w:spacing w:before="120" w:beforeAutospacing="0" w:after="156" w:afterLines="50" w:afterAutospacing="0" w:line="360" w:lineRule="auto"/>
        <w:ind w:left="0" w:right="0" w:firstLine="600" w:firstLineChars="200"/>
        <w:jc w:val="left"/>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推进信息化平台体系建设。将信息化作为现代职业教育体系建设的基础，实现“</w:t>
      </w:r>
      <w:r>
        <w:rPr>
          <w:rFonts w:hint="eastAsia" w:ascii="仿宋_GB2312" w:hAnsi="Times New Roman" w:eastAsia="仿宋_GB2312" w:cs="仿宋_GB2312"/>
          <w:kern w:val="2"/>
          <w:sz w:val="30"/>
          <w:szCs w:val="30"/>
          <w:lang w:val="en-US" w:eastAsia="zh-CN" w:bidi="ar"/>
        </w:rPr>
        <w:t>宽带网络校校通</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优质资源班班通</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网络学习空间人人通</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。加强职业院校信息化基础设施建设，到</w:t>
      </w:r>
      <w:r>
        <w:rPr>
          <w:rFonts w:hint="default" w:ascii="Times New Roman" w:hAnsi="Times New Roman" w:eastAsia="仿宋_GB2312" w:cs="Times New Roman"/>
          <w:kern w:val="2"/>
          <w:sz w:val="30"/>
          <w:szCs w:val="30"/>
          <w:lang w:val="en-US" w:eastAsia="zh-CN" w:bidi="ar"/>
        </w:rPr>
        <w:t>2015</w:t>
      </w:r>
      <w:r>
        <w:rPr>
          <w:rFonts w:hint="eastAsia" w:ascii="仿宋_GB2312" w:hAnsi="Times New Roman" w:eastAsia="仿宋_GB2312" w:cs="仿宋_GB2312"/>
          <w:kern w:val="2"/>
          <w:sz w:val="30"/>
          <w:szCs w:val="30"/>
          <w:lang w:val="en-US" w:eastAsia="zh-CN" w:bidi="ar"/>
        </w:rPr>
        <w:t>年宽带和校园网覆盖所有职业院校。加强职业教育信息化管理平台建设，到</w:t>
      </w:r>
      <w:r>
        <w:rPr>
          <w:rFonts w:hint="default" w:ascii="Times New Roman" w:hAnsi="Times New Roman" w:eastAsia="仿宋_GB2312" w:cs="Times New Roman"/>
          <w:kern w:val="2"/>
          <w:sz w:val="30"/>
          <w:szCs w:val="30"/>
          <w:lang w:val="en-US" w:eastAsia="zh-CN" w:bidi="ar"/>
        </w:rPr>
        <w:t>2015</w:t>
      </w:r>
      <w:r>
        <w:rPr>
          <w:rFonts w:hint="eastAsia" w:ascii="仿宋_GB2312" w:hAnsi="Times New Roman" w:eastAsia="仿宋_GB2312" w:cs="仿宋_GB2312"/>
          <w:kern w:val="2"/>
          <w:sz w:val="30"/>
          <w:szCs w:val="30"/>
          <w:lang w:val="en-US" w:eastAsia="zh-CN" w:bidi="ar"/>
        </w:rPr>
        <w:t>年基本建成职业教育信息化管理系统，并与全国公共就业信息服务平台联通，实现资源共享。加强职业教育数字化资源平台建设，到</w:t>
      </w:r>
      <w:r>
        <w:rPr>
          <w:rFonts w:hint="default" w:ascii="Times New Roman" w:hAnsi="Times New Roman" w:eastAsia="仿宋_GB2312" w:cs="Times New Roman"/>
          <w:kern w:val="2"/>
          <w:sz w:val="30"/>
          <w:szCs w:val="30"/>
          <w:lang w:val="en-US" w:eastAsia="zh-CN" w:bidi="ar"/>
        </w:rPr>
        <w:t>2020</w:t>
      </w:r>
      <w:r>
        <w:rPr>
          <w:rFonts w:hint="eastAsia" w:ascii="仿宋_GB2312" w:hAnsi="Times New Roman" w:eastAsia="仿宋_GB2312" w:cs="仿宋_GB2312"/>
          <w:kern w:val="2"/>
          <w:sz w:val="30"/>
          <w:szCs w:val="30"/>
          <w:lang w:val="en-US" w:eastAsia="zh-CN" w:bidi="ar"/>
        </w:rPr>
        <w:t>年，数字化资源覆盖所有专业。建立全国职业教育数字资源共建共享联盟，制定职业教育数字资源开发规范和审查认证标准，推动建设面向全社会的优质数字化教学资源库。提高开放大学信息化建设水平，到</w:t>
      </w:r>
      <w:r>
        <w:rPr>
          <w:rFonts w:hint="default" w:ascii="Times New Roman" w:hAnsi="Times New Roman" w:eastAsia="仿宋_GB2312" w:cs="Times New Roman"/>
          <w:kern w:val="2"/>
          <w:sz w:val="30"/>
          <w:szCs w:val="30"/>
          <w:lang w:val="en-US" w:eastAsia="zh-CN" w:bidi="ar"/>
        </w:rPr>
        <w:t>2020</w:t>
      </w:r>
      <w:r>
        <w:rPr>
          <w:rFonts w:hint="eastAsia" w:ascii="仿宋_GB2312" w:hAnsi="Times New Roman" w:eastAsia="仿宋_GB2312" w:cs="仿宋_GB2312"/>
          <w:kern w:val="2"/>
          <w:sz w:val="30"/>
          <w:szCs w:val="30"/>
          <w:lang w:val="en-US" w:eastAsia="zh-CN" w:bidi="ar"/>
        </w:rPr>
        <w:t>年信息技术应用达到世界先进水平。</w:t>
      </w:r>
    </w:p>
    <w:p>
      <w:pPr>
        <w:keepNext w:val="0"/>
        <w:keepLines w:val="0"/>
        <w:widowControl w:val="0"/>
        <w:suppressLineNumbers w:val="0"/>
        <w:spacing w:before="120" w:beforeAutospacing="0" w:after="156" w:afterLines="50" w:afterAutospacing="0" w:line="360" w:lineRule="auto"/>
        <w:ind w:left="0" w:right="0" w:firstLine="600" w:firstLineChars="200"/>
        <w:jc w:val="left"/>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加快数字化专业课程体系建设。加紧用信息技术改造职业教育专业课程，使每一个学生都具有与职业要求相适应的信息技术素养。与各行业、产业信息化进程紧密结合，将信息技术课程纳入所有专业。在专业课程中广泛使用计算机仿真教学、数字化实训、远程实时教育等技术。加快发展数字农业、智能制造、智慧服务等领域的相关专业。加强对教师信息技术应用能力的培训，将其作为教师评聘考核的重要标准。办好全国职业院校信息化教学大赛。</w:t>
      </w:r>
    </w:p>
    <w:p>
      <w:pPr>
        <w:pStyle w:val="3"/>
        <w:widowControl/>
        <w:ind w:left="0" w:firstLine="600" w:firstLineChars="200"/>
        <w:rPr>
          <w:rFonts w:hint="default" w:ascii="Times New Roman" w:hAnsi="Times New Roman" w:eastAsia="楷体_GB2312" w:cs="Times New Roman"/>
          <w:b/>
          <w:kern w:val="2"/>
          <w:sz w:val="30"/>
          <w:szCs w:val="30"/>
        </w:rPr>
      </w:pPr>
      <w:bookmarkStart w:id="36" w:name="_Toc389470870"/>
      <w:bookmarkEnd w:id="36"/>
      <w:r>
        <w:rPr>
          <w:rFonts w:hint="default" w:ascii="Times New Roman" w:hAnsi="Times New Roman" w:eastAsia="楷体_GB2312" w:cs="Times New Roman"/>
          <w:b w:val="0"/>
          <w:kern w:val="2"/>
          <w:sz w:val="30"/>
          <w:szCs w:val="30"/>
        </w:rPr>
        <w:t>（十二）建设开放型职业教育体系。</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扩大引进优质职业教育资源。有计划地学习和引进国际先进、成熟适用的人才培养标准、专业课程、教材体系和数字化教育资源。大力引进国外智力，支持职业院校申办聘请外国专家（文教类）许可。实施跟踪和赶超战略，鼓励职业院校与国外高水平院校建立一对一合作关系。鼓励职业院校举办高水平中外合作办学机构和项目。鼓励职业院校以团队方式派遣访问学者系统学习国外先进办学模式。加强同联合国教科文组织、世界银行等国际组织和职业教育先进国家开展职业教育领域的合作和交流。</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鼓励骨干职业院校走出去。服务国家对外开放战略，培育一批具有国际竞争力的职业院校。加快培养适应我国企业走出去要求的技术技能人才。积极扩大职业院校招收海外留学生的规模，探索和规范职业院校到国（境）外办学。支持承揽海外大型工程的企业与职业院校联合建立国际化人才培养基地。鼓励沿边地区的职业院校加强与周边国家的合作，提高我国教育对周边国家的辐射力、影响力。</w:t>
      </w:r>
    </w:p>
    <w:p>
      <w:pPr>
        <w:pStyle w:val="2"/>
        <w:widowControl/>
        <w:ind w:left="0" w:firstLine="753" w:firstLineChars="250"/>
        <w:rPr>
          <w:rFonts w:hint="default" w:ascii="Times New Roman" w:hAnsi="Times New Roman" w:eastAsia="黑体" w:cs="Times New Roman"/>
          <w:b/>
          <w:kern w:val="44"/>
          <w:sz w:val="30"/>
          <w:szCs w:val="30"/>
        </w:rPr>
      </w:pPr>
      <w:bookmarkStart w:id="37" w:name="_Toc317939059"/>
      <w:bookmarkEnd w:id="37"/>
      <w:bookmarkStart w:id="38" w:name="_Toc326133247"/>
      <w:bookmarkEnd w:id="38"/>
      <w:bookmarkStart w:id="39" w:name="_Toc389470871"/>
      <w:r>
        <w:rPr>
          <w:rFonts w:hint="default" w:ascii="Times New Roman" w:hAnsi="Times New Roman" w:eastAsia="黑体" w:cs="Times New Roman"/>
          <w:b/>
          <w:kern w:val="44"/>
          <w:sz w:val="30"/>
          <w:szCs w:val="30"/>
        </w:rPr>
        <w:t>五、体系建设的制度保障和机制创新</w:t>
      </w:r>
      <w:bookmarkEnd w:id="39"/>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以产教融合为主线，建立各级政府、行业、企业、学校和社会各方面共同参与的制度创新平台，为现代职业教育体系建设提供制度保障。</w:t>
      </w:r>
    </w:p>
    <w:p>
      <w:pPr>
        <w:pStyle w:val="3"/>
        <w:widowControl/>
        <w:ind w:left="0" w:firstLine="600" w:firstLineChars="200"/>
        <w:rPr>
          <w:rFonts w:hint="default" w:ascii="Times New Roman" w:hAnsi="Times New Roman" w:eastAsia="楷体_GB2312" w:cs="Times New Roman"/>
          <w:b w:val="0"/>
          <w:kern w:val="2"/>
          <w:sz w:val="30"/>
          <w:szCs w:val="30"/>
        </w:rPr>
      </w:pPr>
      <w:bookmarkStart w:id="40" w:name="_Toc389470872"/>
      <w:bookmarkEnd w:id="40"/>
      <w:r>
        <w:rPr>
          <w:rFonts w:hint="default" w:ascii="Times New Roman" w:hAnsi="Times New Roman" w:eastAsia="楷体_GB2312" w:cs="Times New Roman"/>
          <w:b w:val="0"/>
          <w:kern w:val="2"/>
          <w:sz w:val="30"/>
          <w:szCs w:val="30"/>
        </w:rPr>
        <w:t>（一）完善职业教育法律体系和标准体系。</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推动加快修订《职业教育法》。依法确立现代职业教育体系基本架构，明确各级政府的职责，规范职业院校、行业、企业等主体的权利、义务，将职业教育体系建设的成果法制化。完善促进校企合作和职业教育集团化发展的法律法规。在修订教育法、民办教育促进法、高等教育法、教师法、学位条例以及劳动、社会保障、外国专家等方面的法律法规时，按照现代职业教育体系建设的要求修订完善相关条款。</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楷体_GB2312" w:cs="Times New Roman"/>
          <w:b/>
          <w:kern w:val="2"/>
          <w:sz w:val="30"/>
          <w:szCs w:val="30"/>
        </w:rPr>
      </w:pPr>
      <w:r>
        <w:rPr>
          <w:rFonts w:hint="default" w:ascii="Times New Roman" w:hAnsi="Times New Roman" w:eastAsia="仿宋_GB2312" w:cs="Times New Roman"/>
          <w:kern w:val="2"/>
          <w:sz w:val="30"/>
          <w:szCs w:val="30"/>
          <w:lang w:val="en-US" w:eastAsia="zh-CN" w:bidi="ar"/>
        </w:rPr>
        <w:t>建立健全职业教育标准体系。加快制定符合职业教育特点、适应经济发展和产业升级要求的各类职业院校办学标准。完善各项标准的实施和检验制度。各地要制定规划和实施方案，到2020</w:t>
      </w:r>
      <w:r>
        <w:rPr>
          <w:rFonts w:hint="eastAsia" w:ascii="仿宋_GB2312" w:hAnsi="Times New Roman" w:eastAsia="仿宋_GB2312" w:cs="仿宋_GB2312"/>
          <w:kern w:val="2"/>
          <w:sz w:val="30"/>
          <w:szCs w:val="30"/>
          <w:lang w:val="en-US" w:eastAsia="zh-CN" w:bidi="ar"/>
        </w:rPr>
        <w:t>年，使各类职业院校基本达到国家规定的办学标准。</w:t>
      </w:r>
    </w:p>
    <w:p>
      <w:pPr>
        <w:pStyle w:val="3"/>
        <w:widowControl/>
        <w:ind w:left="0" w:firstLine="600" w:firstLineChars="200"/>
        <w:rPr>
          <w:rFonts w:hint="default" w:ascii="Times New Roman" w:hAnsi="Times New Roman" w:eastAsia="楷体_GB2312" w:cs="Times New Roman"/>
          <w:b/>
          <w:kern w:val="2"/>
          <w:sz w:val="30"/>
          <w:szCs w:val="30"/>
        </w:rPr>
      </w:pPr>
      <w:bookmarkStart w:id="41" w:name="_Toc389470873"/>
      <w:bookmarkEnd w:id="41"/>
      <w:r>
        <w:rPr>
          <w:rFonts w:hint="default" w:ascii="Times New Roman" w:hAnsi="Times New Roman" w:eastAsia="楷体_GB2312" w:cs="Times New Roman"/>
          <w:b w:val="0"/>
          <w:kern w:val="2"/>
          <w:sz w:val="30"/>
          <w:szCs w:val="30"/>
        </w:rPr>
        <w:t>（二）推进职业教育管办评分离改革。</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转变政府管理方式。完善分级管理、地方为主、政府统筹、社会参与的管理体制，加快政府职能转变，减少部门职责交叉和分散，减少对学校教育教学具体事务的干预。各级政府加强发展战略、规划、政策、标准等制定和实施，统筹区域职业教育发展，落实职业教育投入责任，创设有利于产教融合、校企合作和社会力量参与办学的良好制度环境。赋予省级政府更大权限，扩大省级政府在现代职业教育体系建设中的统筹权。</w:t>
      </w:r>
    </w:p>
    <w:p>
      <w:pPr>
        <w:keepNext w:val="0"/>
        <w:keepLines w:val="0"/>
        <w:widowControl w:val="0"/>
        <w:suppressLineNumbers w:val="0"/>
        <w:spacing w:before="0" w:beforeAutospacing="0" w:after="0" w:afterAutospacing="0"/>
        <w:ind w:left="0" w:right="0" w:firstLine="6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加强行业指导、企业参与。构建职业教育行业指导体系，发挥行业在提供政策咨询服务、发布行业人才需求、推进校企合作、参与指导教育教学、开展质量评价等方面的重要作用。加强行业指导能力建设，各地和有关部门将适宜行业组织承担的职责通过授权委托、购买服务等方式交给行业组织，给予政策支持并强化服务监管。加强职业教育行业指导委员会和教学指导委员会建设。通过法制建设、政策引导、考核评价等多种途径进一步落实企业参与校企合作、支持学生实习实训、开展职工继续教育的责任。用人单位要为职工的职业继续教育和终身学习提供条件。将国有大中型企业支持职业教育列入企业履行社会责任考核内容。</w:t>
      </w:r>
    </w:p>
    <w:p>
      <w:pPr>
        <w:keepNext w:val="0"/>
        <w:keepLines w:val="0"/>
        <w:widowControl w:val="0"/>
        <w:suppressLineNumbers w:val="0"/>
        <w:spacing w:before="0" w:beforeAutospacing="0" w:after="156" w:afterLines="5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扩大职业院校办学自主权。实行“</w:t>
      </w:r>
      <w:r>
        <w:rPr>
          <w:rFonts w:hint="eastAsia" w:ascii="仿宋_GB2312" w:hAnsi="Times New Roman" w:eastAsia="仿宋_GB2312" w:cs="仿宋_GB2312"/>
          <w:kern w:val="2"/>
          <w:sz w:val="30"/>
          <w:szCs w:val="30"/>
          <w:lang w:val="en-US" w:eastAsia="zh-CN" w:bidi="ar"/>
        </w:rPr>
        <w:t>负面清单</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制度，深化行政审批制度改革，推动政校分开，扩大职业院校在专业设置和调整、人事管理、教师评聘、收入分配等方面的自主权。完善职业院校治理结构、内外部约束和激励机制，确保职业院校用好办学自主权。坚持和完善中等职业学校校长负责制、公办高等职业学校党委领导下的校长负责制。完善体现职业院校办学和管理特点的绩效考核内部分配机制。</w:t>
      </w:r>
    </w:p>
    <w:p>
      <w:pPr>
        <w:keepNext w:val="0"/>
        <w:keepLines w:val="0"/>
        <w:widowControl w:val="0"/>
        <w:suppressLineNumbers w:val="0"/>
        <w:spacing w:before="0" w:beforeAutospacing="0" w:after="156" w:afterLines="5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健全职业教育督导评估制度。完善中等职业教育督导评估办法，制定高等职业教育督导评估办法。建立职业教育定期督导评估和专项督导评估制度。完善督导报告制度、公报制度、约谈制度、限期整改制度、奖惩制度等制度，将督导评估结果作为地方各级政府和有关部门、职业院校绩效考核的重要内容。</w:t>
      </w:r>
    </w:p>
    <w:p>
      <w:pPr>
        <w:pStyle w:val="3"/>
        <w:widowControl/>
        <w:ind w:left="0" w:firstLine="600" w:firstLineChars="200"/>
        <w:rPr>
          <w:rFonts w:hint="default" w:ascii="Times New Roman" w:hAnsi="Times New Roman" w:eastAsia="楷体_GB2312" w:cs="Times New Roman"/>
          <w:b w:val="0"/>
          <w:kern w:val="2"/>
          <w:sz w:val="30"/>
          <w:szCs w:val="30"/>
        </w:rPr>
      </w:pPr>
      <w:bookmarkStart w:id="42" w:name="_Toc389470874"/>
      <w:bookmarkEnd w:id="42"/>
      <w:r>
        <w:rPr>
          <w:rFonts w:hint="default" w:ascii="Times New Roman" w:hAnsi="Times New Roman" w:eastAsia="楷体_GB2312" w:cs="Times New Roman"/>
          <w:b w:val="0"/>
          <w:kern w:val="2"/>
          <w:sz w:val="30"/>
          <w:szCs w:val="30"/>
        </w:rPr>
        <w:t>（三）深化职业教育招生考试制度改革。</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建立符合职业教育特点的招生考试制度。根据高等教育招生考试制度改革总体方案，制定高等学校考试招生制度改革的实施意见和改革方案，加快推进高等职业教育分类招考，建立符合技术技能人才成长规律的选拔机制。重点探索“</w:t>
      </w:r>
      <w:r>
        <w:rPr>
          <w:rFonts w:hint="eastAsia" w:ascii="仿宋_GB2312" w:hAnsi="Times New Roman" w:eastAsia="仿宋_GB2312" w:cs="仿宋_GB2312"/>
          <w:kern w:val="2"/>
          <w:sz w:val="30"/>
          <w:szCs w:val="30"/>
          <w:lang w:val="en-US" w:eastAsia="zh-CN" w:bidi="ar"/>
        </w:rPr>
        <w:t>知识</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技能</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单独招生、自主招生和技能拔尖人才免试等考试招生办法，为学生接受不同层次高等职业教育提供多样化入学形式。加快专业学位研究生入学考试制度改革，扩大招收有一定工作经历和实践经验的一线劳动者的比例。完善职业院校教学比赛制度，办好全国职业院校技能大赛，提升国际影响力，将学生比赛成绩作为升入高一级学校的重要依据。</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扩大职业院校毕业生升学机会。扩大学校招生自主权，适度提高专科高等职业学校招收中等职业学校毕业生的比例、本科高等学校招收职业院校毕业生的比例，逐步扩大高等职业学校招收有实践经历人员的比例。对不同类型的学生实行不同的选拔方式，为不同来源学生、不同学习方式制定不同培养方案。积极探索非户籍生源在流入地参加</w:t>
      </w:r>
      <w:r>
        <w:rPr>
          <w:rFonts w:hint="default" w:ascii="Times New Roman" w:hAnsi="Times New Roman" w:cs="Times New Roman" w:eastAsiaTheme="minorEastAsia"/>
          <w:kern w:val="2"/>
          <w:sz w:val="21"/>
          <w:szCs w:val="21"/>
          <w:lang w:val="en-US" w:eastAsia="zh-CN" w:bidi="ar"/>
        </w:rPr>
        <w:fldChar w:fldCharType="begin"/>
      </w:r>
      <w:r>
        <w:rPr>
          <w:rFonts w:hint="default" w:ascii="Times New Roman" w:hAnsi="Times New Roman" w:cs="Times New Roman" w:eastAsiaTheme="minorEastAsia"/>
          <w:kern w:val="2"/>
          <w:sz w:val="21"/>
          <w:szCs w:val="21"/>
          <w:lang w:val="en-US" w:eastAsia="zh-CN" w:bidi="ar"/>
        </w:rPr>
        <w:instrText xml:space="preserve"> HYPERLINK "http://baike.baidu.com/view/8093.htm" </w:instrText>
      </w:r>
      <w:r>
        <w:rPr>
          <w:rFonts w:hint="default" w:ascii="Times New Roman" w:hAnsi="Times New Roman" w:cs="Times New Roman" w:eastAsiaTheme="minorEastAsia"/>
          <w:kern w:val="2"/>
          <w:sz w:val="21"/>
          <w:szCs w:val="21"/>
          <w:lang w:val="en-US" w:eastAsia="zh-CN" w:bidi="ar"/>
        </w:rPr>
        <w:fldChar w:fldCharType="separate"/>
      </w:r>
      <w:r>
        <w:rPr>
          <w:rStyle w:val="9"/>
          <w:rFonts w:hint="default" w:ascii="Times New Roman" w:hAnsi="Times New Roman" w:eastAsia="仿宋_GB2312" w:cs="Times New Roman"/>
          <w:kern w:val="2"/>
          <w:sz w:val="30"/>
          <w:szCs w:val="30"/>
        </w:rPr>
        <w:t>考试</w:t>
      </w:r>
      <w:r>
        <w:rPr>
          <w:rFonts w:hint="default" w:ascii="Times New Roman" w:hAnsi="Times New Roman" w:cs="Times New Roman" w:eastAsiaTheme="minorEastAsia"/>
          <w:kern w:val="2"/>
          <w:sz w:val="21"/>
          <w:szCs w:val="21"/>
          <w:lang w:val="en-US" w:eastAsia="zh-CN" w:bidi="ar"/>
        </w:rPr>
        <w:fldChar w:fldCharType="end"/>
      </w:r>
      <w:r>
        <w:rPr>
          <w:rFonts w:hint="default" w:ascii="Times New Roman" w:hAnsi="Times New Roman" w:eastAsia="仿宋_GB2312" w:cs="Times New Roman"/>
          <w:kern w:val="2"/>
          <w:sz w:val="30"/>
          <w:szCs w:val="30"/>
          <w:lang w:val="en-US" w:eastAsia="zh-CN" w:bidi="ar"/>
        </w:rPr>
        <w:t>升入高等职业学校的办法。鼓励农民工采取灵活多样的学习方式接受职业教育与培训。</w:t>
      </w:r>
    </w:p>
    <w:p>
      <w:pPr>
        <w:pStyle w:val="3"/>
        <w:widowControl/>
        <w:ind w:left="0" w:firstLine="594" w:firstLineChars="198"/>
        <w:rPr>
          <w:rFonts w:hint="default" w:ascii="Times New Roman" w:hAnsi="Times New Roman" w:eastAsia="楷体_GB2312" w:cs="Times New Roman"/>
          <w:b w:val="0"/>
          <w:kern w:val="2"/>
          <w:sz w:val="30"/>
          <w:szCs w:val="30"/>
        </w:rPr>
      </w:pPr>
      <w:bookmarkStart w:id="43" w:name="_Toc389470875"/>
      <w:bookmarkEnd w:id="43"/>
      <w:r>
        <w:rPr>
          <w:rFonts w:hint="default" w:ascii="Times New Roman" w:hAnsi="Times New Roman" w:eastAsia="楷体_GB2312" w:cs="Times New Roman"/>
          <w:b w:val="0"/>
          <w:kern w:val="2"/>
          <w:sz w:val="30"/>
          <w:szCs w:val="30"/>
        </w:rPr>
        <w:t>（四）完善校企合作的现代职业院校治理结构。</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完善校企合作各项制度。制定促进校企合作办学法规。建立健全校企合作规划、合作治理、合作培养机制，使人才培养融入企业生产服务流程和价值创造过程。职业院校和合作企业要不断完善知识共享、课程更新、订单培养、顶岗实习、生产实训、交流任职、员工培训、协同创新等制度。推动学校把实训实习基地建在企业，企业把人才培养和培训基地建在学校。探索引校进厂、引厂进校、前店后校等校企一体化的合作形式。</w:t>
      </w:r>
    </w:p>
    <w:p>
      <w:pPr>
        <w:pStyle w:val="15"/>
        <w:keepNext w:val="0"/>
        <w:keepLines w:val="0"/>
        <w:widowControl/>
        <w:suppressLineNumbers w:val="0"/>
        <w:ind w:left="0" w:firstLine="6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推动行业、企业和社区参与职业院校治理。职业院校设立理（董）事会，50%</w:t>
      </w:r>
      <w:r>
        <w:rPr>
          <w:rFonts w:hint="eastAsia" w:ascii="仿宋_GB2312" w:hAnsi="Times New Roman" w:eastAsia="仿宋_GB2312" w:cs="仿宋_GB2312"/>
          <w:sz w:val="30"/>
          <w:szCs w:val="30"/>
        </w:rPr>
        <w:t>以上的成员要来自企业、行业和社区。设立专业指导委员会，</w:t>
      </w:r>
      <w:r>
        <w:rPr>
          <w:rFonts w:hint="default" w:ascii="Times New Roman" w:hAnsi="Times New Roman" w:eastAsia="仿宋_GB2312" w:cs="Times New Roman"/>
          <w:sz w:val="30"/>
          <w:szCs w:val="30"/>
        </w:rPr>
        <w:t>50%</w:t>
      </w:r>
      <w:r>
        <w:rPr>
          <w:rFonts w:hint="eastAsia" w:ascii="仿宋_GB2312" w:hAnsi="Times New Roman" w:eastAsia="仿宋_GB2312" w:cs="仿宋_GB2312"/>
          <w:sz w:val="30"/>
          <w:szCs w:val="30"/>
        </w:rPr>
        <w:t>以上的成员要来自用人单位。完善体现职业教育特色的职业院校章程和制度，明确理（董）事会、校（院）长、专业指导委员会和教职工代表大会的职权，提高职业院校治理能力。制订符合职业教育特点的校长（院长）任职资格标准，积极推进校长聘任制改革和公开选拔试点，鼓励企业家、创业家担任校长（院长），培养和造就一批职业教育家。</w:t>
      </w:r>
    </w:p>
    <w:p>
      <w:pPr>
        <w:pStyle w:val="3"/>
        <w:widowControl/>
        <w:ind w:left="0" w:firstLine="600" w:firstLineChars="200"/>
        <w:rPr>
          <w:rFonts w:hint="default" w:ascii="Times New Roman" w:hAnsi="Times New Roman" w:eastAsia="楷体_GB2312" w:cs="Times New Roman"/>
          <w:b/>
          <w:kern w:val="2"/>
          <w:sz w:val="30"/>
          <w:szCs w:val="30"/>
        </w:rPr>
      </w:pPr>
      <w:bookmarkStart w:id="44" w:name="_Toc389470876"/>
      <w:bookmarkEnd w:id="44"/>
      <w:r>
        <w:rPr>
          <w:rFonts w:hint="default" w:ascii="Times New Roman" w:hAnsi="Times New Roman" w:eastAsia="楷体_GB2312" w:cs="Times New Roman"/>
          <w:b w:val="0"/>
          <w:kern w:val="2"/>
          <w:sz w:val="30"/>
          <w:szCs w:val="30"/>
        </w:rPr>
        <w:t>（五）创新校企协同的技术技能积累机制。</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建立重点产业技术积累创新联合体。制定多方参与的支持政策，推动政府、学校、行业、企业的联动，促进技术技能的积累和创新。在关系国家竞争力的重要产业部门，规划建立一批企业和职业院校紧密合作的技术技能积累创新平台，促进新技术、新材料、新工艺、新装备的应用，加快先进技术转化和产业转型升级步伐。推动企业将职业院校纳入技术创新体系，强化协同创新，促进劳动者素质与技术创新、技术引进、技术改造同步提高，实现新技术产业化与新技术应用人才储备同步。推动职业院校和职业教育集团通过多层次人才培养体系和技术推广体系，主动参与企业技术创新，积极推动技术成果扩散，为科技型小微企业创业提供人才、科技服务。</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支持职业教育传承民族工艺和文化。将民族特色产品、工艺、文化纳入现代职业教育体系，将民族文化融入学校教育全过程，着力推动民间传统手工艺传承模式改革，逐步形成民族工艺职业院校传承创新的现代机制。积极发展集民族工艺传承创新、文化遗产保护、高技能人才培养、产业孵化于一体的职业教育。鼓励民间艺人、技艺大师和非物质文化遗产传承人参与职业教育办学。</w:t>
      </w:r>
    </w:p>
    <w:p>
      <w:pPr>
        <w:pStyle w:val="3"/>
        <w:widowControl/>
        <w:ind w:left="0" w:firstLine="600" w:firstLineChars="200"/>
        <w:jc w:val="left"/>
        <w:rPr>
          <w:rFonts w:hint="default" w:ascii="Times New Roman" w:hAnsi="Times New Roman" w:eastAsia="楷体_GB2312" w:cs="Times New Roman"/>
          <w:b/>
          <w:kern w:val="2"/>
          <w:sz w:val="30"/>
          <w:szCs w:val="30"/>
        </w:rPr>
      </w:pPr>
      <w:bookmarkStart w:id="45" w:name="_Toc389470877"/>
      <w:bookmarkEnd w:id="45"/>
      <w:r>
        <w:rPr>
          <w:rFonts w:hint="default" w:ascii="Times New Roman" w:hAnsi="Times New Roman" w:eastAsia="楷体_GB2312" w:cs="Times New Roman"/>
          <w:b w:val="0"/>
          <w:kern w:val="2"/>
          <w:sz w:val="30"/>
          <w:szCs w:val="30"/>
        </w:rPr>
        <w:t>（六）构建适应现代职业教育体系的投入机制。</w:t>
      </w:r>
    </w:p>
    <w:p>
      <w:pPr>
        <w:keepNext w:val="0"/>
        <w:keepLines w:val="0"/>
        <w:widowControl w:val="0"/>
        <w:suppressLineNumbers w:val="0"/>
        <w:spacing w:before="0" w:beforeAutospacing="0" w:after="0" w:afterAutospacing="0"/>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落实财政性职业教育经费投入。通过调整优化财政支出结构、加强规划、制定标准等措施，加大各级政府对职业教育的投入。地方政府加强职业教育布局结构、基本建设、专业建设和教师队伍建设规划，加大对体系建设重点领域和薄弱环节的投入。2015</w:t>
      </w:r>
      <w:r>
        <w:rPr>
          <w:rFonts w:hint="eastAsia" w:ascii="仿宋_GB2312" w:hAnsi="Times New Roman" w:eastAsia="仿宋_GB2312" w:cs="仿宋_GB2312"/>
          <w:kern w:val="2"/>
          <w:sz w:val="30"/>
          <w:szCs w:val="30"/>
          <w:lang w:val="en-US" w:eastAsia="zh-CN" w:bidi="ar"/>
        </w:rPr>
        <w:t>年底前，各地依法出台职业院校生均经费标准或公用经费标准。县级以上政府要建立职业教育经费绩效评价制度、审计监督公告制度、预决算公开制度。加强职业院校办学条件、人才培养质量、培训经费使用等方面的信息公开。加大中央财政对经济欠发达地区职业教育的转移支付力度。</w:t>
      </w:r>
    </w:p>
    <w:p>
      <w:pPr>
        <w:keepNext w:val="0"/>
        <w:keepLines w:val="0"/>
        <w:widowControl w:val="0"/>
        <w:suppressLineNumbers w:val="0"/>
        <w:spacing w:before="0" w:beforeAutospacing="0" w:after="0" w:afterAutospacing="0" w:line="640" w:lineRule="exact"/>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充分利用社会资本发展现代职业教育。完善民办职业教育收费制度，在完善民办职业教育信息公开和质量评价标准的基础上，逐步形成主要由市场决定的收费价格形成机制。加强企业落实足额提取职工教育培训经费政策的监督检查。加大职业教育捐赠的优惠政策、典型案例、社会效益的舆论宣传。鼓励社会力量通过资金、土地、装备、技术、人才等多种要素投资职业教育。完善财政贴息贷款等政策，健全民办职业院校融资机制。鼓励发展实习实训设备融资租赁业务。支持营利性职业教育机构通过金融手段和资本市场融资。支持境内外企业积极参与职业教育中外合作办学。</w:t>
      </w:r>
    </w:p>
    <w:p>
      <w:pPr>
        <w:keepNext w:val="0"/>
        <w:keepLines w:val="0"/>
        <w:widowControl w:val="0"/>
        <w:suppressLineNumbers w:val="0"/>
        <w:spacing w:before="0" w:beforeAutospacing="0" w:after="0" w:afterAutospacing="0" w:line="640" w:lineRule="exact"/>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加强职业教育基础能力建设。建立政府、行业、企业、个人、社会共同参与的基础能力建设多元投资机制。实施现代职业教育质量提升计划，加大“</w:t>
      </w:r>
      <w:r>
        <w:rPr>
          <w:rFonts w:hint="eastAsia" w:ascii="仿宋_GB2312" w:hAnsi="Times New Roman" w:eastAsia="仿宋_GB2312" w:cs="仿宋_GB2312"/>
          <w:kern w:val="2"/>
          <w:sz w:val="30"/>
          <w:szCs w:val="30"/>
          <w:lang w:val="en-US" w:eastAsia="zh-CN" w:bidi="ar"/>
        </w:rPr>
        <w:t>十二五</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期间规划项目的推进和实施力度，启动编制</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十三五</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职业院校基础能力建设规划并纳入各地经济社会发展规划，重点加大对现代农业、装备制造业、现代服务业、战略性新兴产业、民族工艺和基本公共服务等领域的急需专业（集群）的支持力度。积极推进以部分地方本科高等学校为重点的转型发展试点，支持一批本科高等学校转型发展为应用技术类型高等学校，形成一批支持产业转型升级、加速先进技术转化应用、对区域发展有重大支撑作用的高水平应用技术人才培养专业集群。地方政府、相关行业部门和大型企业要切实加强所办职业院校基础能力建设，支持一批职业院校争创国际先进水平。</w:t>
      </w:r>
    </w:p>
    <w:p>
      <w:pPr>
        <w:pStyle w:val="3"/>
        <w:widowControl/>
        <w:ind w:left="0" w:firstLine="600" w:firstLineChars="200"/>
        <w:rPr>
          <w:rFonts w:hint="default" w:ascii="Times New Roman" w:hAnsi="Times New Roman" w:eastAsia="楷体_GB2312" w:cs="Times New Roman"/>
          <w:b w:val="0"/>
          <w:kern w:val="2"/>
          <w:sz w:val="30"/>
          <w:szCs w:val="30"/>
        </w:rPr>
      </w:pPr>
      <w:bookmarkStart w:id="46" w:name="_Toc389470878"/>
      <w:bookmarkEnd w:id="46"/>
      <w:r>
        <w:rPr>
          <w:rFonts w:hint="default" w:ascii="Times New Roman" w:hAnsi="Times New Roman" w:eastAsia="楷体_GB2312" w:cs="Times New Roman"/>
          <w:b w:val="0"/>
          <w:kern w:val="2"/>
          <w:sz w:val="30"/>
          <w:szCs w:val="30"/>
        </w:rPr>
        <w:t>（七）健全促进职业教育公平的体制机制。</w:t>
      </w:r>
    </w:p>
    <w:p>
      <w:pPr>
        <w:keepNext w:val="0"/>
        <w:keepLines w:val="0"/>
        <w:widowControl w:val="0"/>
        <w:suppressLineNumbers w:val="0"/>
        <w:spacing w:before="0" w:beforeAutospacing="0" w:after="0" w:afterAutospacing="0"/>
        <w:ind w:left="0" w:right="0" w:firstLine="6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推动职业教育面向全社会、面向人人。广泛开展面向未升学初高中毕业生、农民、新生代农民工、退役军人、失业人员等群体的职业教育和培训。重视残疾人职业教育，充分考虑各类残疾人员的特点和社会需求，注重拓展专业教育范围，为学习者提高生活质量和就业质量服务。</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加快贫困地区职业教育发展。充分发挥职业教育在扶贫开发中的重要作用，围绕贫困地区产业发展和基本公共服务需求，提高职业教育扶贫的精准度。中央和省级政府、发达地区加大对贫困地区、革命老区、民族地区、边疆地区职业教育的扶持、支援力度。改善民族地区职业院校办学条件。有计划地支持集中连片特殊困难地区内限制开发和禁止开发区初中毕业生到省（区、市）内外经济较发达地区接受职业教育。</w:t>
      </w:r>
    </w:p>
    <w:p>
      <w:pPr>
        <w:keepNext w:val="0"/>
        <w:keepLines w:val="0"/>
        <w:widowControl w:val="0"/>
        <w:suppressLineNumbers w:val="0"/>
        <w:spacing w:before="0" w:beforeAutospacing="0" w:after="0" w:afterAutospacing="0" w:line="640" w:lineRule="exact"/>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完善职业教育资助政策体系。健全公平公正、多元投入、规范高效的职业教育国家资助政策体系。逐步建立职业院校助学金覆盖面和补助标准动态调整机制，加大对农林水地矿油核等专业学生的助学力度。推行以直补个人为主的资助经费支付办法，完善直补个人的政策设计、台帐管理和监督检查机制，确保资助资金让真正需要资助的受教育者受益。综合考虑经济社会发展和职业教育改革要求，适时调整职业院校收费标准。</w:t>
      </w:r>
    </w:p>
    <w:p>
      <w:pPr>
        <w:pStyle w:val="3"/>
        <w:widowControl/>
        <w:ind w:left="0" w:firstLine="600" w:firstLineChars="200"/>
        <w:rPr>
          <w:rFonts w:hint="default" w:ascii="Times New Roman" w:hAnsi="Times New Roman" w:eastAsia="楷体_GB2312" w:cs="Times New Roman"/>
          <w:b w:val="0"/>
          <w:kern w:val="2"/>
          <w:sz w:val="30"/>
          <w:szCs w:val="30"/>
        </w:rPr>
      </w:pPr>
      <w:bookmarkStart w:id="47" w:name="_Toc389470879"/>
      <w:bookmarkEnd w:id="47"/>
      <w:r>
        <w:rPr>
          <w:rFonts w:hint="default" w:ascii="Times New Roman" w:hAnsi="Times New Roman" w:eastAsia="楷体_GB2312" w:cs="Times New Roman"/>
          <w:b w:val="0"/>
          <w:kern w:val="2"/>
          <w:sz w:val="30"/>
          <w:szCs w:val="30"/>
        </w:rPr>
        <w:t>（八）创新职业教育区域合作机制。</w:t>
      </w:r>
    </w:p>
    <w:p>
      <w:pPr>
        <w:keepNext w:val="0"/>
        <w:keepLines w:val="0"/>
        <w:widowControl w:val="0"/>
        <w:suppressLineNumbers w:val="0"/>
        <w:spacing w:before="0" w:beforeAutospacing="0" w:after="156" w:afterLines="50" w:afterAutospacing="0"/>
        <w:ind w:left="0" w:right="0" w:firstLine="601"/>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完善东中西部对口支援机制。将职业教育作为东部地区对口支援中西部地区的优先领域。鼓励东部地区职业教育集团吸纳中西部地区职业院校成员，东部地区职业院校（集团）对口支援中西部地区职业院校。推动建立发达地区和欠发达地区中等职业教育合作办学工作机制。国家制定奖补政策，支持东部地区职业院校特别是示范性职业院校扩大面向中西部地区的招生规模。完善东中西部对口支援机制，扩大合作办学招生规模，组建跨区域职业教育集团，总结推广“9+3”</w:t>
      </w:r>
      <w:r>
        <w:rPr>
          <w:rFonts w:hint="eastAsia" w:ascii="仿宋_GB2312" w:hAnsi="Times New Roman" w:eastAsia="仿宋_GB2312" w:cs="仿宋_GB2312"/>
          <w:kern w:val="2"/>
          <w:sz w:val="30"/>
          <w:szCs w:val="30"/>
          <w:lang w:val="en-US" w:eastAsia="zh-CN" w:bidi="ar"/>
        </w:rPr>
        <w:t>免费职业教育模式。改进内地西藏班、新疆中职班的招生计划安排、教学管理工作，统筹安排毕业生就业，加强民族团结教育。</w:t>
      </w:r>
    </w:p>
    <w:p>
      <w:pPr>
        <w:keepNext w:val="0"/>
        <w:keepLines w:val="0"/>
        <w:widowControl w:val="0"/>
        <w:suppressLineNumbers w:val="0"/>
        <w:spacing w:before="0" w:beforeAutospacing="0" w:after="156" w:afterLines="50" w:afterAutospacing="0"/>
        <w:ind w:left="0" w:right="0" w:firstLine="601"/>
        <w:jc w:val="both"/>
        <w:rPr>
          <w:rFonts w:hint="default" w:ascii="Times New Roman" w:hAnsi="Times New Roman" w:cs="Times New Roman"/>
          <w:kern w:val="2"/>
          <w:sz w:val="21"/>
          <w:szCs w:val="21"/>
        </w:rPr>
      </w:pPr>
      <w:r>
        <w:rPr>
          <w:rFonts w:hint="default" w:ascii="Times New Roman" w:hAnsi="Times New Roman" w:eastAsia="仿宋_GB2312" w:cs="Times New Roman"/>
          <w:kern w:val="2"/>
          <w:sz w:val="30"/>
          <w:szCs w:val="30"/>
          <w:lang w:val="en-US" w:eastAsia="zh-CN" w:bidi="ar"/>
        </w:rPr>
        <w:t>深化区域内职业教育合作。鼓励各地打破行政区划限制，建立区域职业教育合作平台，协调职业教育发展政策。率先在京津冀、长三角、珠三角等地区推动职业院校跨省域合作培养人才、合作培训教师、合作开发课程、共享数字化教学资源、共享教学科研成果。</w:t>
      </w:r>
      <w:r>
        <w:rPr>
          <w:rFonts w:hint="default" w:ascii="Times New Roman" w:hAnsi="Times New Roman" w:cs="Times New Roman" w:eastAsiaTheme="minorEastAsia"/>
          <w:kern w:val="2"/>
          <w:sz w:val="21"/>
          <w:szCs w:val="21"/>
          <w:lang w:val="en-US" w:eastAsia="zh-CN" w:bidi="ar"/>
        </w:rPr>
        <w:t xml:space="preserve">                </w:t>
      </w:r>
    </w:p>
    <w:p>
      <w:pPr>
        <w:pStyle w:val="3"/>
        <w:widowControl/>
        <w:ind w:left="0" w:firstLine="600" w:firstLineChars="200"/>
        <w:rPr>
          <w:rFonts w:hint="default" w:ascii="Times New Roman" w:hAnsi="Times New Roman" w:eastAsia="楷体_GB2312" w:cs="Times New Roman"/>
          <w:b w:val="0"/>
          <w:kern w:val="2"/>
          <w:sz w:val="30"/>
          <w:szCs w:val="30"/>
        </w:rPr>
      </w:pPr>
      <w:bookmarkStart w:id="48" w:name="_Toc389470880"/>
      <w:bookmarkEnd w:id="48"/>
      <w:r>
        <w:rPr>
          <w:rFonts w:hint="default" w:ascii="Times New Roman" w:hAnsi="Times New Roman" w:eastAsia="楷体_GB2312" w:cs="Times New Roman"/>
          <w:b w:val="0"/>
          <w:kern w:val="2"/>
          <w:sz w:val="30"/>
          <w:szCs w:val="30"/>
        </w:rPr>
        <w:t>（九）建立职业教育服务社区机制。</w:t>
      </w:r>
    </w:p>
    <w:p>
      <w:pPr>
        <w:keepNext w:val="0"/>
        <w:keepLines w:val="0"/>
        <w:widowControl w:val="0"/>
        <w:suppressLineNumbers w:val="0"/>
        <w:spacing w:before="0" w:beforeAutospacing="0" w:after="0" w:afterAutospacing="0"/>
        <w:ind w:left="0" w:right="0" w:firstLine="6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推动职业院校社区化办学。各类职业院校要发挥社区文化中心、教育中心的作用，举办各种形式短期职业教育、继续教育和文化生活类课程，向社会免费开放服务设施和数字化教育资源。到2015</w:t>
      </w:r>
      <w:r>
        <w:rPr>
          <w:rFonts w:hint="eastAsia" w:ascii="仿宋_GB2312" w:hAnsi="Times New Roman" w:eastAsia="仿宋_GB2312" w:cs="仿宋_GB2312"/>
          <w:kern w:val="2"/>
          <w:sz w:val="30"/>
          <w:szCs w:val="30"/>
          <w:lang w:val="en-US" w:eastAsia="zh-CN" w:bidi="ar"/>
        </w:rPr>
        <w:t>年，所有职业院校都要开设</w:t>
      </w:r>
      <w:r>
        <w:rPr>
          <w:rFonts w:hint="default" w:ascii="Times New Roman" w:hAnsi="Times New Roman" w:eastAsia="仿宋_GB2312" w:cs="Times New Roman"/>
          <w:kern w:val="2"/>
          <w:sz w:val="30"/>
          <w:szCs w:val="30"/>
          <w:lang w:val="en-US" w:eastAsia="zh-CN" w:bidi="ar"/>
        </w:rPr>
        <w:t>10</w:t>
      </w:r>
      <w:r>
        <w:rPr>
          <w:rFonts w:hint="eastAsia" w:ascii="仿宋_GB2312" w:hAnsi="Times New Roman" w:eastAsia="仿宋_GB2312" w:cs="仿宋_GB2312"/>
          <w:kern w:val="2"/>
          <w:sz w:val="30"/>
          <w:szCs w:val="30"/>
          <w:lang w:val="en-US" w:eastAsia="zh-CN" w:bidi="ar"/>
        </w:rPr>
        <w:t>门以上社区课程。</w:t>
      </w:r>
    </w:p>
    <w:p>
      <w:pPr>
        <w:keepNext w:val="0"/>
        <w:keepLines w:val="0"/>
        <w:widowControl w:val="0"/>
        <w:suppressLineNumbers w:val="0"/>
        <w:spacing w:before="0" w:beforeAutospacing="0" w:after="0" w:afterAutospacing="0"/>
        <w:ind w:left="0" w:right="0" w:firstLine="602"/>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建立社区与职业院校联动机制。建立社区和职业院校联席会议制度，支持社区参与制订职业院校发展规划、校园建设规划、专业建设规划和社区服务计划，协调社区企事业单位为职业院校提供实习实践场所，加强校园周边环境综合治理。</w:t>
      </w:r>
    </w:p>
    <w:p>
      <w:pPr>
        <w:pStyle w:val="2"/>
        <w:widowControl/>
        <w:ind w:left="0" w:firstLine="753" w:firstLineChars="250"/>
        <w:rPr>
          <w:rFonts w:hint="default" w:ascii="Times New Roman" w:hAnsi="Times New Roman" w:eastAsia="黑体" w:cs="Times New Roman"/>
          <w:b/>
          <w:kern w:val="44"/>
          <w:sz w:val="30"/>
          <w:szCs w:val="30"/>
        </w:rPr>
      </w:pPr>
      <w:bookmarkStart w:id="49" w:name="_Toc389470881"/>
      <w:bookmarkEnd w:id="49"/>
      <w:bookmarkStart w:id="50" w:name="_Toc317750235"/>
      <w:bookmarkEnd w:id="50"/>
      <w:bookmarkStart w:id="51" w:name="_Toc326133248"/>
      <w:r>
        <w:rPr>
          <w:rFonts w:hint="default" w:ascii="Times New Roman" w:hAnsi="Times New Roman" w:eastAsia="黑体" w:cs="Times New Roman"/>
          <w:b/>
          <w:kern w:val="44"/>
          <w:sz w:val="30"/>
          <w:szCs w:val="30"/>
        </w:rPr>
        <w:t>六、保障实施</w:t>
      </w:r>
      <w:bookmarkEnd w:id="51"/>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以完善工作机制和政策配套为重点，建立保障现代职业教育体系建设的政策体系和实施机制。</w:t>
      </w:r>
    </w:p>
    <w:p>
      <w:pPr>
        <w:pStyle w:val="3"/>
        <w:widowControl/>
        <w:ind w:left="0" w:firstLine="600" w:firstLineChars="200"/>
        <w:rPr>
          <w:rFonts w:hint="default" w:ascii="Times New Roman" w:hAnsi="Times New Roman" w:eastAsia="楷体_GB2312" w:cs="Times New Roman"/>
          <w:b w:val="0"/>
          <w:kern w:val="2"/>
          <w:sz w:val="30"/>
          <w:szCs w:val="30"/>
        </w:rPr>
      </w:pPr>
      <w:bookmarkStart w:id="52" w:name="_Toc389470882"/>
      <w:bookmarkEnd w:id="52"/>
      <w:r>
        <w:rPr>
          <w:rFonts w:hint="default" w:ascii="Times New Roman" w:hAnsi="Times New Roman" w:eastAsia="楷体_GB2312" w:cs="Times New Roman"/>
          <w:b w:val="0"/>
          <w:kern w:val="2"/>
          <w:sz w:val="30"/>
          <w:szCs w:val="30"/>
        </w:rPr>
        <w:t>（一）加强组织领导。</w:t>
      </w:r>
    </w:p>
    <w:p>
      <w:pPr>
        <w:keepNext w:val="0"/>
        <w:keepLines w:val="0"/>
        <w:widowControl w:val="0"/>
        <w:suppressLineNumbers w:val="0"/>
        <w:spacing w:before="0" w:beforeAutospacing="0" w:after="0" w:afterAutospacing="0" w:line="620" w:lineRule="exact"/>
        <w:ind w:left="0" w:right="0" w:firstLine="594" w:firstLineChars="198"/>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落实政府责任。中央政府负责制定职业教育体系建设法律法规、重大政策和总体发展规划。充分发挥职业教育工作部门联席会议制度的作用。加强省级政府统筹规划，赋予省级政府在学校布局规划、招生考试等方面更多的权限。加强地市级政府对区域内职业教育的统筹规划与管理。县级政府根据农村经济社会发展需要，完善县域职业教育与职业培训网络。</w:t>
      </w:r>
    </w:p>
    <w:p>
      <w:pPr>
        <w:keepNext w:val="0"/>
        <w:keepLines w:val="0"/>
        <w:widowControl w:val="0"/>
        <w:suppressLineNumbers w:val="0"/>
        <w:spacing w:before="0" w:beforeAutospacing="0" w:after="0" w:afterAutospacing="0" w:line="620" w:lineRule="exact"/>
        <w:ind w:left="0" w:right="0" w:firstLine="594" w:firstLineChars="198"/>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明确部门职责。国务院有关部门要有效运用总体规划、政策引导等手段以及税收金融、财政转移支付等杠杆，加强对职业教育的统筹协调和分类指导。教育、人力资源社会保障、发展改革、财政部门以及行业部门根据各自职责分别负责有关工作，共同推进现代职业教育体系建设。</w:t>
      </w:r>
    </w:p>
    <w:p>
      <w:pPr>
        <w:keepNext w:val="0"/>
        <w:keepLines w:val="0"/>
        <w:widowControl w:val="0"/>
        <w:suppressLineNumbers w:val="0"/>
        <w:spacing w:before="0" w:beforeAutospacing="0" w:after="0" w:afterAutospacing="0" w:line="620" w:lineRule="exact"/>
        <w:ind w:left="0" w:right="0" w:firstLine="594" w:firstLineChars="198"/>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 xml:space="preserve">设立专家咨询委员会。专家咨询委员会由行业、教育、人力资源社会保障等领域的专家组成，对现代职业教育体系建设的重大问题提出意见和建议。 </w:t>
      </w:r>
    </w:p>
    <w:p>
      <w:pPr>
        <w:pStyle w:val="3"/>
        <w:widowControl/>
        <w:ind w:left="0" w:firstLine="600" w:firstLineChars="200"/>
        <w:rPr>
          <w:rFonts w:hint="default" w:ascii="Times New Roman" w:hAnsi="Times New Roman" w:eastAsia="楷体_GB2312" w:cs="Times New Roman"/>
          <w:b w:val="0"/>
          <w:kern w:val="2"/>
          <w:sz w:val="30"/>
          <w:szCs w:val="30"/>
        </w:rPr>
      </w:pPr>
      <w:bookmarkStart w:id="53" w:name="_Toc389470883"/>
      <w:bookmarkEnd w:id="53"/>
      <w:r>
        <w:rPr>
          <w:rFonts w:hint="default" w:ascii="Times New Roman" w:hAnsi="Times New Roman" w:eastAsia="楷体_GB2312" w:cs="Times New Roman"/>
          <w:b w:val="0"/>
          <w:kern w:val="2"/>
          <w:sz w:val="30"/>
          <w:szCs w:val="30"/>
        </w:rPr>
        <w:t>（二）完善支持政策。</w:t>
      </w:r>
    </w:p>
    <w:p>
      <w:pPr>
        <w:keepNext w:val="0"/>
        <w:keepLines w:val="0"/>
        <w:widowControl w:val="0"/>
        <w:suppressLineNumbers w:val="0"/>
        <w:spacing w:before="0" w:beforeAutospacing="0" w:after="0" w:afterAutospacing="0" w:line="620" w:lineRule="exact"/>
        <w:ind w:left="0" w:right="0" w:firstLine="594" w:firstLineChars="198"/>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将职业教育纳入产业发展和城乡建设规划。科学预测经济社会发展对各类人才的需求，推动职业教育层次和专业结构调整与区域产业结构调整相适应，职业教育课程和实训基地建设与产业技术进步相适应，适度超前储备新兴产业急需人才。完善人社部门与有关部门、行业组织联合发布年度分行业、分岗位的人才就业状况和需求预测制度。建立紧缺人才培养能力调查制度。新建城市、城市新区和各类产业集聚区建设要科学规划职业教育布局，统筹教育和产业资源，推动产教融合发展。</w:t>
      </w:r>
    </w:p>
    <w:p>
      <w:pPr>
        <w:keepNext w:val="0"/>
        <w:keepLines w:val="0"/>
        <w:widowControl w:val="0"/>
        <w:suppressLineNumbers w:val="0"/>
        <w:spacing w:before="0" w:beforeAutospacing="0" w:after="0" w:afterAutospacing="0" w:line="620" w:lineRule="exact"/>
        <w:ind w:left="0" w:right="0" w:firstLine="594" w:firstLineChars="198"/>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提高一线劳动者地位待遇。深化收入分配制度改革，提高劳动报酬在初次分配中的比重，健全国有企业、科研院校和高等学校分配激励机制。各地要创造各类人才平等就业环境，改革用人制度，取消用人和人才流动中的城乡、行业、身份、性别等限制。政府部门和企事业单位招收人员不得歧视职业院校毕业生。落实一线劳动者医疗、养老、就业等政策。鼓励企业建立高技能人才职务津贴和特殊岗位津贴制度，按照国家现行法律法规的有关规定对符合条件的高技能人才给予股份和期权等激励措施。提高相关表彰奖励中一线劳动者的比例。鼓励企业和其他用人单位按照国家有关规定建立一线劳动者表彰奖励制度。按照国家有关规定制订国家高技能人才评选标准和办法，选拔出各级各类一线能工巧匠和技术能手，鼓励其在一线岗位建功立业和带徒传承技艺。</w:t>
      </w:r>
    </w:p>
    <w:p>
      <w:pPr>
        <w:keepNext w:val="0"/>
        <w:keepLines w:val="0"/>
        <w:widowControl w:val="0"/>
        <w:suppressLineNumbers w:val="0"/>
        <w:spacing w:before="0" w:beforeAutospacing="0" w:after="0" w:afterAutospacing="0" w:line="620" w:lineRule="exact"/>
        <w:ind w:left="0" w:right="0" w:firstLine="594" w:firstLineChars="198"/>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完善税收金融支持政策。鼓励企事业单位、社会团体和公民个人通过公益性社会团体或者县级以上人民政府及其部门向职业院校进行捐赠，其捐赠支出按照现行税收法律规定在税前扣除。企业因接受实习生所发生的与取得收入有关的合理的支出，按照税收法律法规的规定在计算应纳税所得额时扣除。对职业院校自办的、以服务学生实习实训为主要目的的企业或经营活动，按照国家有关规定享受税收等优惠。完善金融支持政策。完善职业院校实习学生的实习、见习责任保险制度，完善职业院校学生实习安全管理和劳动保护制度。</w:t>
      </w:r>
    </w:p>
    <w:p>
      <w:pPr>
        <w:keepNext w:val="0"/>
        <w:keepLines w:val="0"/>
        <w:widowControl w:val="0"/>
        <w:suppressLineNumbers w:val="0"/>
        <w:spacing w:before="0" w:beforeAutospacing="0" w:after="0" w:afterAutospacing="0" w:line="620" w:lineRule="exact"/>
        <w:ind w:left="0" w:right="0" w:firstLine="594" w:firstLineChars="198"/>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完善毕业生就业创业政策。坚持“</w:t>
      </w:r>
      <w:r>
        <w:rPr>
          <w:rFonts w:hint="eastAsia" w:ascii="仿宋_GB2312" w:hAnsi="Times New Roman" w:eastAsia="仿宋_GB2312" w:cs="仿宋_GB2312"/>
          <w:kern w:val="2"/>
          <w:sz w:val="30"/>
          <w:szCs w:val="30"/>
          <w:lang w:val="en-US" w:eastAsia="zh-CN" w:bidi="ar"/>
        </w:rPr>
        <w:t>先培训，后就业</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先培训，后上岗</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原则，对从事涉及公共安全、人身健康、生命财产安全等特殊工种的劳动者，严格落实就业准入法规和政策。规范清理影响职业院校毕业生公平就业的政策。人力资源社会保障、教育部门和职业院校要加强毕业生就业的政策指导和信息服务。各级公共就业服务机构、高校毕业生就业指导服务机构要免费提供就业服务，并加大对技术技能人才的宣传和推荐。加强职业院校就业指导机构的建设，加强就业、创业教育和服务。引导毕业生转变就业观念，鼓励多渠道多形式就业，允许学生休学创业，促进创业带动就业。各地要改善创业环境，充分利用国家现有政策对职业院校毕业生创业加大支持力度。</w:t>
      </w:r>
    </w:p>
    <w:p>
      <w:pPr>
        <w:pStyle w:val="3"/>
        <w:widowControl/>
        <w:ind w:left="0" w:firstLine="600" w:firstLineChars="200"/>
        <w:rPr>
          <w:rFonts w:hint="default" w:ascii="Times New Roman" w:hAnsi="Times New Roman" w:eastAsia="楷体_GB2312" w:cs="Times New Roman"/>
          <w:b w:val="0"/>
          <w:kern w:val="2"/>
          <w:sz w:val="30"/>
          <w:szCs w:val="30"/>
        </w:rPr>
      </w:pPr>
      <w:bookmarkStart w:id="54" w:name="_Toc389470884"/>
      <w:bookmarkEnd w:id="54"/>
      <w:r>
        <w:rPr>
          <w:rFonts w:hint="default" w:ascii="Times New Roman" w:hAnsi="Times New Roman" w:eastAsia="楷体_GB2312" w:cs="Times New Roman"/>
          <w:b w:val="0"/>
          <w:kern w:val="2"/>
          <w:sz w:val="30"/>
          <w:szCs w:val="30"/>
        </w:rPr>
        <w:t>（三）营造良好氛围。</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在全社会树立重视职业教育的理念。加大现代职业教育宣传力度，引导全社会树立尊重劳动、尊重知识、尊重技术、尊重创新的观念，树立劳动最光荣、劳动最崇高、劳动最伟大、劳动最美丽的观念，树立依靠辛勤劳动、诚实劳动、创造性劳动开创美好未来的观念，促进形成“</w:t>
      </w:r>
      <w:r>
        <w:rPr>
          <w:rFonts w:hint="eastAsia" w:ascii="仿宋_GB2312" w:hAnsi="Times New Roman" w:eastAsia="仿宋_GB2312" w:cs="仿宋_GB2312"/>
          <w:kern w:val="2"/>
          <w:sz w:val="30"/>
          <w:szCs w:val="30"/>
          <w:lang w:val="en-US" w:eastAsia="zh-CN" w:bidi="ar"/>
        </w:rPr>
        <w:t>劳动光荣、技能宝贵、创造伟大</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的社会氛围，激发年轻人学习职业技能的积极性。大力宣传新中国成立以来涌现的优秀工人群体和</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爱岗敬业、争创一流、艰苦奋斗、勇于创新、淡薄名利、甘于奉献</w:t>
      </w:r>
      <w:r>
        <w:rPr>
          <w:rFonts w:hint="default" w:ascii="Times New Roman" w:hAnsi="Times New Roman" w:eastAsia="仿宋_GB2312" w:cs="Times New Roman"/>
          <w:kern w:val="2"/>
          <w:sz w:val="30"/>
          <w:szCs w:val="30"/>
          <w:lang w:val="en-US" w:eastAsia="zh-CN" w:bidi="ar"/>
        </w:rPr>
        <w:t>”</w:t>
      </w:r>
      <w:r>
        <w:rPr>
          <w:rFonts w:hint="eastAsia" w:ascii="仿宋_GB2312" w:hAnsi="Times New Roman" w:eastAsia="仿宋_GB2312" w:cs="仿宋_GB2312"/>
          <w:kern w:val="2"/>
          <w:sz w:val="30"/>
          <w:szCs w:val="30"/>
          <w:lang w:val="en-US" w:eastAsia="zh-CN" w:bidi="ar"/>
        </w:rPr>
        <w:t>的劳模精神。研究设立职业教育活动周，每年开展宣传教育活动。</w:t>
      </w:r>
    </w:p>
    <w:p>
      <w:pPr>
        <w:pStyle w:val="3"/>
        <w:widowControl/>
        <w:ind w:left="0" w:firstLine="600" w:firstLineChars="200"/>
        <w:rPr>
          <w:rFonts w:hint="default" w:ascii="Times New Roman" w:hAnsi="Times New Roman" w:eastAsia="楷体_GB2312" w:cs="Times New Roman"/>
          <w:b w:val="0"/>
          <w:kern w:val="2"/>
          <w:sz w:val="30"/>
          <w:szCs w:val="30"/>
        </w:rPr>
      </w:pPr>
      <w:bookmarkStart w:id="55" w:name="_Toc389470885"/>
      <w:bookmarkEnd w:id="55"/>
      <w:r>
        <w:rPr>
          <w:rFonts w:hint="default" w:ascii="Times New Roman" w:hAnsi="Times New Roman" w:eastAsia="楷体_GB2312" w:cs="Times New Roman"/>
          <w:b w:val="0"/>
          <w:kern w:val="2"/>
          <w:sz w:val="30"/>
          <w:szCs w:val="30"/>
        </w:rPr>
        <w:t>（四）加强监测评估。</w:t>
      </w:r>
    </w:p>
    <w:p>
      <w:pPr>
        <w:keepNext w:val="0"/>
        <w:keepLines w:val="0"/>
        <w:widowControl w:val="0"/>
        <w:suppressLineNumbers w:val="0"/>
        <w:spacing w:before="0" w:beforeAutospacing="0" w:after="0" w:afterAutospacing="0"/>
        <w:ind w:left="0" w:right="0" w:firstLine="600"/>
        <w:jc w:val="both"/>
        <w:rPr>
          <w:rFonts w:hint="default" w:ascii="Times New Roman" w:hAnsi="Times New Roman" w:eastAsia="楷体_GB2312" w:cs="Times New Roman"/>
          <w:kern w:val="2"/>
          <w:sz w:val="30"/>
          <w:szCs w:val="30"/>
        </w:rPr>
      </w:pPr>
      <w:r>
        <w:rPr>
          <w:rFonts w:hint="default" w:ascii="Times New Roman" w:hAnsi="Times New Roman" w:eastAsia="仿宋_GB2312" w:cs="Times New Roman"/>
          <w:kern w:val="2"/>
          <w:sz w:val="30"/>
          <w:szCs w:val="30"/>
          <w:lang w:val="en-US" w:eastAsia="zh-CN" w:bidi="ar"/>
        </w:rPr>
        <w:t>加强规划宣传。组织动员各类媒体广泛宣传本规划的主要政策，及时总结和宣传各地、各部门、各行业企业推进职业教育体系建设的典型经验和做法，形成全社会关心、支持职业教育体系建设的舆论环境和良好氛围。</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建立规划实施目标责任制。各级政府要积极推进落实本规划，制定规划各项目标任务的分解落实方案，明确实施单位和实施部门，落实责任分工。各有关部门要制订工作方案，行业主管部门要指导行业企业制定实施办法。各地要围绕规划确定的战略目标、主要任务和制度安排，编制并组织实施本地区职业教育体系建设规划和行动计划，出台相关配套政策，明确时间表、路线图。</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加强规划实施情况的监测和督导评估。各地要对规划实施情况进行跟踪指导检查，及时研究规划实施过程中的新情况和新问题。教育督导部门要加强对规划实施情况的督导评估，积极支持第三方机构开展评估。鼓励社会各界对规划实施情况进行监督。</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auto"/>
    <w:pitch w:val="default"/>
    <w:sig w:usb0="00000287" w:usb1="00000000" w:usb2="00000000" w:usb3="00000000" w:csb0="2000019F" w:csb1="00000000"/>
  </w:font>
  <w:font w:name="黑体">
    <w:panose1 w:val="02010600030101010101"/>
    <w:charset w:val="86"/>
    <w:family w:val="auto"/>
    <w:pitch w:val="default"/>
    <w:sig w:usb0="00000001" w:usb1="080E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52D8F"/>
    <w:rsid w:val="50052D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widowControl w:val="0"/>
      <w:suppressLineNumbers w:val="0"/>
      <w:spacing w:before="260" w:beforeAutospacing="0" w:after="260" w:afterAutospacing="0" w:line="415" w:lineRule="auto"/>
      <w:jc w:val="both"/>
      <w:outlineLvl w:val="1"/>
    </w:pPr>
    <w:rPr>
      <w:rFonts w:hint="default" w:ascii="Arial" w:hAnsi="Arial" w:eastAsia="黑体" w:cs="Arial"/>
      <w:b/>
      <w:kern w:val="2"/>
      <w:sz w:val="32"/>
      <w:szCs w:val="32"/>
      <w:lang w:val="en-US" w:eastAsia="zh-CN" w:bidi="ar"/>
    </w:rPr>
  </w:style>
  <w:style w:type="character" w:default="1" w:styleId="6">
    <w:name w:val="Default Paragraph Font"/>
    <w:semiHidden/>
    <w:uiPriority w:val="0"/>
  </w:style>
  <w:style w:type="table" w:default="1" w:styleId="10">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4">
    <w:name w:val="toc 1"/>
    <w:basedOn w:val="1"/>
    <w:next w:val="1"/>
    <w:uiPriority w:val="0"/>
    <w:pPr>
      <w:keepNext w:val="0"/>
      <w:keepLines w:val="0"/>
      <w:widowControl w:val="0"/>
      <w:suppressLineNumbers w:val="0"/>
      <w:spacing w:before="360" w:beforeAutospacing="0"/>
      <w:jc w:val="left"/>
    </w:pPr>
    <w:rPr>
      <w:rFonts w:hint="default" w:ascii="Arial" w:hAnsi="Arial" w:cs="Arial"/>
      <w:b/>
      <w:caps/>
      <w:kern w:val="2"/>
      <w:sz w:val="24"/>
      <w:szCs w:val="24"/>
      <w:lang w:val="en-US" w:eastAsia="zh-CN" w:bidi="ar"/>
    </w:rPr>
  </w:style>
  <w:style w:type="paragraph" w:styleId="5">
    <w:name w:val="toc 2"/>
    <w:basedOn w:val="1"/>
    <w:next w:val="1"/>
    <w:uiPriority w:val="0"/>
    <w:pPr>
      <w:keepNext w:val="0"/>
      <w:keepLines w:val="0"/>
      <w:widowControl w:val="0"/>
      <w:suppressLineNumbers w:val="0"/>
      <w:spacing w:before="240" w:beforeAutospacing="0"/>
      <w:jc w:val="left"/>
    </w:pPr>
    <w:rPr>
      <w:rFonts w:hint="default" w:ascii="Times New Roman" w:hAnsi="Times New Roman" w:cs="Times New Roman"/>
      <w:b/>
      <w:kern w:val="2"/>
      <w:sz w:val="20"/>
      <w:szCs w:val="20"/>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Hyperlink"/>
    <w:basedOn w:val="6"/>
    <w:uiPriority w:val="0"/>
    <w:rPr>
      <w:color w:val="0000FF"/>
      <w:u w:val="single"/>
    </w:rPr>
  </w:style>
  <w:style w:type="character" w:customStyle="1" w:styleId="11">
    <w:name w:val="10"/>
    <w:basedOn w:val="6"/>
    <w:uiPriority w:val="0"/>
    <w:rPr>
      <w:rFonts w:hint="default" w:ascii="Times New Roman" w:hAnsi="Times New Roman" w:cs="Times New Roman"/>
    </w:rPr>
  </w:style>
  <w:style w:type="character" w:customStyle="1" w:styleId="12">
    <w:name w:val="16"/>
    <w:basedOn w:val="6"/>
    <w:uiPriority w:val="0"/>
    <w:rPr>
      <w:rFonts w:hint="default" w:ascii="Times New Roman" w:hAnsi="Times New Roman" w:cs="Times New Roman"/>
    </w:rPr>
  </w:style>
  <w:style w:type="character" w:customStyle="1" w:styleId="13">
    <w:name w:val="17"/>
    <w:basedOn w:val="6"/>
    <w:uiPriority w:val="0"/>
    <w:rPr>
      <w:rFonts w:hint="default" w:ascii="Times New Roman" w:hAnsi="Times New Roman" w:cs="Times New Roman"/>
    </w:rPr>
  </w:style>
  <w:style w:type="character" w:customStyle="1" w:styleId="14">
    <w:name w:val="15"/>
    <w:basedOn w:val="6"/>
    <w:uiPriority w:val="0"/>
    <w:rPr>
      <w:rFonts w:hint="default" w:ascii="Times New Roman" w:hAnsi="Times New Roman" w:cs="Times New Roman"/>
      <w:color w:val="0000FF"/>
      <w:u w:val="single"/>
    </w:rPr>
  </w:style>
  <w:style w:type="paragraph" w:customStyle="1" w:styleId="15">
    <w:name w:val="列出段落1"/>
    <w:basedOn w:val="1"/>
    <w:uiPriority w:val="0"/>
    <w:pPr>
      <w:widowControl/>
      <w:spacing w:before="0" w:beforeAutospacing="0" w:after="0" w:afterAutospacing="0"/>
      <w:ind w:left="0" w:right="0" w:firstLine="420" w:firstLineChars="200"/>
      <w:jc w:val="left"/>
    </w:pPr>
    <w:rPr>
      <w:rFonts w:hint="default" w:ascii="Times New Roman" w:hAnsi="Times New Roma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C:\DOCUME~1\ADMINI~1\LOCALS~1\Temp\ksohtml\wps5E3.tmp.png" TargetMode="External"/><Relationship Id="rId8" Type="http://schemas.openxmlformats.org/officeDocument/2006/relationships/image" Target="C:\DOCUME~1\ADMINI~1\LOCALS~1\Temp\ksohtml\wps5E2.tmp.png" TargetMode="External"/><Relationship Id="rId7" Type="http://schemas.openxmlformats.org/officeDocument/2006/relationships/image" Target="C:\DOCUME~1\ADMINI~1\LOCALS~1\Temp\ksohtml\wps5E1.tmp.png" TargetMode="External"/><Relationship Id="rId6" Type="http://schemas.openxmlformats.org/officeDocument/2006/relationships/image" Target="C:\DOCUME~1\ADMINI~1\LOCALS~1\Temp\ksohtml\wps5E0.tmp.png" TargetMode="External"/><Relationship Id="rId5" Type="http://schemas.openxmlformats.org/officeDocument/2006/relationships/image" Target="C:\DOCUME~1\ADMINI~1\LOCALS~1\Temp\ksohtml\wps5DF.tmp.png" TargetMode="External"/><Relationship Id="rId4" Type="http://schemas.openxmlformats.org/officeDocument/2006/relationships/image" Target="C:\DOCUME~1\ADMINI~1\LOCALS~1\Temp\ksohtml\wps5DE.tmp.jpg" TargetMode="Externa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C:\DOCUME~1\ADMINI~1\LOCALS~1\Temp\ksohtml\wps5E4.tmp.pn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2015-11-02T06:43:00Z</dcterms:created>
  <dc:creator>Administrator</dc:creator>
  <cp:lastModifiedBy>Administrator</cp:lastModifiedBy>
  <dcterms:modified xsi:type="dcterms:W3CDTF">2015-11-02T06:51:47Z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