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仿宋_GB2312" w:hAnsi="仿宋" w:eastAsia="仿宋_GB2312"/>
          <w:sz w:val="28"/>
          <w:szCs w:val="28"/>
        </w:rPr>
      </w:pPr>
      <w:r>
        <w:rPr>
          <w:rFonts w:hint="eastAsia" w:ascii="仿宋_GB2312" w:hAnsi="仿宋" w:eastAsia="仿宋_GB2312"/>
          <w:sz w:val="28"/>
          <w:szCs w:val="28"/>
        </w:rPr>
        <w:t>附件1</w:t>
      </w:r>
    </w:p>
    <w:p>
      <w:pPr>
        <w:spacing w:line="440" w:lineRule="exact"/>
        <w:jc w:val="center"/>
        <w:rPr>
          <w:rFonts w:ascii="仿宋_GB2312" w:hAnsi="仿宋" w:eastAsia="仿宋_GB2312"/>
          <w:b/>
          <w:sz w:val="36"/>
          <w:szCs w:val="36"/>
        </w:rPr>
      </w:pPr>
      <w:r>
        <w:rPr>
          <w:rFonts w:hint="eastAsia" w:ascii="仿宋_GB2312" w:hAnsi="仿宋" w:eastAsia="仿宋_GB2312"/>
          <w:b/>
          <w:sz w:val="36"/>
          <w:szCs w:val="36"/>
          <w:u w:val="single"/>
        </w:rPr>
        <w:t>福州职业技术学院*****</w:t>
      </w:r>
      <w:r>
        <w:rPr>
          <w:rFonts w:hint="eastAsia" w:ascii="仿宋_GB2312" w:hAnsi="仿宋" w:eastAsia="仿宋_GB2312"/>
          <w:b/>
          <w:sz w:val="36"/>
          <w:szCs w:val="36"/>
        </w:rPr>
        <w:t>项目实施计划</w:t>
      </w:r>
    </w:p>
    <w:p>
      <w:pPr>
        <w:spacing w:line="440" w:lineRule="exact"/>
        <w:jc w:val="center"/>
        <w:rPr>
          <w:rFonts w:ascii="仿宋_GB2312" w:hAnsi="仿宋" w:eastAsia="仿宋_GB2312"/>
          <w:b/>
          <w:sz w:val="36"/>
          <w:szCs w:val="36"/>
        </w:rPr>
      </w:pPr>
      <w:r>
        <w:rPr>
          <w:rFonts w:hint="eastAsia" w:ascii="仿宋_GB2312" w:hAnsi="仿宋" w:eastAsia="仿宋_GB2312"/>
          <w:b/>
          <w:sz w:val="36"/>
          <w:szCs w:val="36"/>
        </w:rPr>
        <w:t>（招标需求内容）</w:t>
      </w:r>
    </w:p>
    <w:p>
      <w:pPr>
        <w:spacing w:line="440" w:lineRule="exact"/>
        <w:jc w:val="center"/>
        <w:rPr>
          <w:rFonts w:ascii="仿宋_GB2312" w:hAnsi="仿宋" w:eastAsia="仿宋_GB2312"/>
          <w:b/>
          <w:sz w:val="36"/>
          <w:szCs w:val="36"/>
        </w:rPr>
      </w:pPr>
    </w:p>
    <w:p>
      <w:pPr>
        <w:tabs>
          <w:tab w:val="left" w:pos="0"/>
        </w:tabs>
        <w:adjustRightInd w:val="0"/>
        <w:spacing w:line="440" w:lineRule="exact"/>
        <w:ind w:firstLine="562" w:firstLineChars="200"/>
        <w:jc w:val="center"/>
        <w:rPr>
          <w:rFonts w:ascii="仿宋_GB2312" w:hAnsi="仿宋" w:eastAsia="仿宋_GB2312"/>
          <w:b/>
          <w:sz w:val="28"/>
          <w:szCs w:val="28"/>
        </w:rPr>
      </w:pPr>
      <w:r>
        <w:rPr>
          <w:rFonts w:hint="eastAsia" w:ascii="仿宋_GB2312" w:hAnsi="宋体" w:eastAsia="仿宋_GB2312"/>
          <w:b/>
          <w:sz w:val="28"/>
          <w:szCs w:val="28"/>
        </w:rPr>
        <w:t>（货物类）</w:t>
      </w:r>
    </w:p>
    <w:p>
      <w:pPr>
        <w:tabs>
          <w:tab w:val="left" w:pos="0"/>
        </w:tabs>
        <w:adjustRightInd w:val="0"/>
        <w:spacing w:line="440" w:lineRule="exact"/>
        <w:ind w:firstLine="551" w:firstLineChars="196"/>
        <w:rPr>
          <w:rFonts w:ascii="仿宋_GB2312" w:hAnsi="宋体" w:eastAsia="仿宋_GB2312"/>
          <w:b/>
          <w:sz w:val="28"/>
          <w:szCs w:val="28"/>
        </w:rPr>
      </w:pPr>
      <w:r>
        <w:rPr>
          <w:rFonts w:hint="eastAsia" w:ascii="仿宋_GB2312" w:hAnsi="宋体" w:eastAsia="仿宋_GB2312"/>
          <w:b/>
          <w:sz w:val="28"/>
          <w:szCs w:val="28"/>
        </w:rPr>
        <w:t>一、项目预算：     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（一）资金列支渠道：</w:t>
            </w:r>
          </w:p>
        </w:tc>
        <w:tc>
          <w:tcPr>
            <w:tcW w:w="5579" w:type="dxa"/>
            <w:shd w:val="clear" w:color="auto" w:fill="auto"/>
            <w:vAlign w:val="top"/>
          </w:tcPr>
          <w:p>
            <w:pPr>
              <w:tabs>
                <w:tab w:val="left" w:pos="0"/>
              </w:tabs>
              <w:adjustRightInd w:val="0"/>
              <w:spacing w:line="440" w:lineRule="exact"/>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（二）资金性质：</w:t>
            </w:r>
          </w:p>
        </w:tc>
        <w:tc>
          <w:tcPr>
            <w:tcW w:w="5579" w:type="dxa"/>
            <w:shd w:val="clear" w:color="auto" w:fill="auto"/>
            <w:vAlign w:val="top"/>
          </w:tcPr>
          <w:p>
            <w:pPr>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本年度一般公共预算拨款（元）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结余结转资金</w:t>
            </w:r>
            <w:r>
              <w:rPr>
                <w:rFonts w:hint="eastAsia" w:ascii="新宋体" w:hAnsi="新宋体" w:eastAsia="新宋体"/>
                <w:sz w:val="22"/>
                <w:u w:val="single"/>
              </w:rPr>
              <w:t xml:space="preserve">    （元）  </w:t>
            </w:r>
          </w:p>
          <w:p>
            <w:pPr>
              <w:spacing w:line="440" w:lineRule="exact"/>
              <w:rPr>
                <w:rFonts w:ascii="新宋体" w:hAnsi="新宋体" w:eastAsia="新宋体"/>
                <w:sz w:val="22"/>
                <w:u w:val="single"/>
              </w:rPr>
            </w:pPr>
            <w:r>
              <w:rPr>
                <w:rFonts w:hint="eastAsia" w:ascii="新宋体" w:hAnsi="新宋体" w:eastAsia="新宋体"/>
                <w:b/>
                <w:sz w:val="22"/>
              </w:rPr>
              <w:t>□</w:t>
            </w:r>
            <w:r>
              <w:rPr>
                <w:rFonts w:hint="eastAsia" w:ascii="新宋体" w:hAnsi="新宋体" w:eastAsia="新宋体"/>
                <w:sz w:val="22"/>
              </w:rPr>
              <w:t>基金预算拨款</w:t>
            </w:r>
            <w:r>
              <w:rPr>
                <w:rFonts w:hint="eastAsia" w:ascii="新宋体" w:hAnsi="新宋体" w:eastAsia="新宋体"/>
                <w:sz w:val="22"/>
                <w:u w:val="single"/>
              </w:rPr>
              <w:t xml:space="preserve">    （元）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经营服务收入</w:t>
            </w:r>
            <w:r>
              <w:rPr>
                <w:rFonts w:hint="eastAsia" w:ascii="新宋体" w:hAnsi="新宋体" w:eastAsia="新宋体"/>
                <w:sz w:val="22"/>
                <w:u w:val="single"/>
              </w:rPr>
              <w:t xml:space="preserve">    （元）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其他收入</w:t>
            </w:r>
            <w:r>
              <w:rPr>
                <w:rFonts w:hint="eastAsia" w:ascii="新宋体" w:hAnsi="新宋体" w:eastAsia="新宋体"/>
                <w:sz w:val="22"/>
                <w:u w:val="single"/>
              </w:rPr>
              <w:t xml:space="preserve">    （元）</w:t>
            </w:r>
          </w:p>
          <w:p>
            <w:pPr>
              <w:tabs>
                <w:tab w:val="left" w:pos="0"/>
              </w:tabs>
              <w:adjustRightInd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上级补助收入</w:t>
            </w:r>
            <w:r>
              <w:rPr>
                <w:rFonts w:hint="eastAsia" w:ascii="新宋体" w:hAnsi="新宋体" w:eastAsia="新宋体"/>
                <w:sz w:val="22"/>
                <w:u w:val="single"/>
              </w:rPr>
              <w:t xml:space="preserve">   （元）</w:t>
            </w:r>
          </w:p>
          <w:p>
            <w:pPr>
              <w:tabs>
                <w:tab w:val="left" w:pos="0"/>
              </w:tabs>
              <w:adjustRightInd w:val="0"/>
              <w:spacing w:line="440" w:lineRule="exact"/>
              <w:rPr>
                <w:rFonts w:ascii="仿宋_GB2312" w:hAnsi="宋体" w:eastAsia="仿宋_GB2312"/>
                <w:b/>
                <w:sz w:val="28"/>
                <w:szCs w:val="28"/>
              </w:rPr>
            </w:pPr>
            <w:r>
              <w:rPr>
                <w:rFonts w:hint="eastAsia" w:ascii="新宋体" w:hAnsi="新宋体" w:eastAsia="新宋体"/>
                <w:b/>
                <w:sz w:val="22"/>
              </w:rPr>
              <w:t>□</w:t>
            </w:r>
            <w:r>
              <w:rPr>
                <w:rFonts w:hint="eastAsia" w:ascii="新宋体" w:hAnsi="新宋体" w:eastAsia="新宋体"/>
                <w:sz w:val="22"/>
              </w:rPr>
              <w:t>附属单位上缴收入</w:t>
            </w:r>
            <w:r>
              <w:rPr>
                <w:rFonts w:hint="eastAsia" w:ascii="新宋体" w:hAnsi="新宋体" w:eastAsia="新宋体"/>
                <w:sz w:val="22"/>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（三）资金支付方式：</w:t>
            </w:r>
          </w:p>
        </w:tc>
        <w:tc>
          <w:tcPr>
            <w:tcW w:w="5579"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1.网超：</w:t>
            </w:r>
            <w:r>
              <w:rPr>
                <w:rFonts w:hint="eastAsia" w:ascii="新宋体" w:hAnsi="新宋体" w:eastAsia="新宋体"/>
                <w:sz w:val="22"/>
              </w:rPr>
              <w:t>□自行支付  □国库支付</w:t>
            </w:r>
          </w:p>
          <w:p>
            <w:pPr>
              <w:tabs>
                <w:tab w:val="left" w:pos="0"/>
              </w:tabs>
              <w:adjustRightInd w:val="0"/>
              <w:spacing w:line="440" w:lineRule="exact"/>
              <w:rPr>
                <w:rFonts w:ascii="新宋体" w:hAnsi="新宋体" w:eastAsia="新宋体"/>
                <w:sz w:val="22"/>
              </w:rPr>
            </w:pPr>
            <w:r>
              <w:rPr>
                <w:rFonts w:hint="eastAsia" w:ascii="仿宋_GB2312" w:hAnsi="宋体" w:eastAsia="仿宋_GB2312"/>
                <w:b/>
                <w:sz w:val="28"/>
                <w:szCs w:val="28"/>
              </w:rPr>
              <w:t>2.招标：</w:t>
            </w:r>
            <w:r>
              <w:rPr>
                <w:rFonts w:hint="eastAsia" w:ascii="新宋体" w:hAnsi="新宋体" w:eastAsia="新宋体"/>
                <w:sz w:val="22"/>
              </w:rPr>
              <w:t xml:space="preserve">□自行结算     </w:t>
            </w:r>
          </w:p>
          <w:p>
            <w:pPr>
              <w:tabs>
                <w:tab w:val="left" w:pos="0"/>
              </w:tabs>
              <w:adjustRightInd w:val="0"/>
              <w:spacing w:line="440" w:lineRule="exact"/>
              <w:ind w:firstLine="1100" w:firstLineChars="500"/>
              <w:rPr>
                <w:rFonts w:ascii="新宋体" w:hAnsi="新宋体" w:eastAsia="新宋体"/>
                <w:sz w:val="22"/>
              </w:rPr>
            </w:pPr>
            <w:r>
              <w:rPr>
                <w:rFonts w:hint="eastAsia" w:ascii="新宋体" w:hAnsi="新宋体" w:eastAsia="新宋体"/>
                <w:sz w:val="22"/>
              </w:rPr>
              <w:t xml:space="preserve">□直接支付       </w:t>
            </w:r>
          </w:p>
          <w:p>
            <w:pPr>
              <w:tabs>
                <w:tab w:val="left" w:pos="0"/>
              </w:tabs>
              <w:adjustRightInd w:val="0"/>
              <w:spacing w:line="440" w:lineRule="exact"/>
              <w:ind w:firstLine="1100" w:firstLineChars="500"/>
              <w:rPr>
                <w:rFonts w:ascii="新宋体" w:hAnsi="新宋体" w:eastAsia="新宋体"/>
                <w:sz w:val="22"/>
              </w:rPr>
            </w:pPr>
            <w:r>
              <w:rPr>
                <w:rFonts w:hint="eastAsia" w:ascii="新宋体" w:hAnsi="新宋体" w:eastAsia="新宋体"/>
                <w:sz w:val="22"/>
              </w:rPr>
              <w:t>□授权支付</w:t>
            </w:r>
          </w:p>
        </w:tc>
      </w:tr>
    </w:tbl>
    <w:p>
      <w:pPr>
        <w:tabs>
          <w:tab w:val="left" w:pos="0"/>
        </w:tabs>
        <w:adjustRightInd w:val="0"/>
        <w:spacing w:line="440" w:lineRule="exact"/>
        <w:ind w:firstLine="562" w:firstLineChars="200"/>
        <w:jc w:val="center"/>
        <w:rPr>
          <w:rFonts w:ascii="仿宋_GB2312" w:hAnsi="宋体" w:eastAsia="仿宋_GB2312"/>
          <w:b/>
          <w:sz w:val="28"/>
          <w:szCs w:val="28"/>
        </w:rPr>
      </w:pP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二、付款方式</w:t>
      </w:r>
      <w:r>
        <w:rPr>
          <w:rFonts w:hint="eastAsia" w:ascii="仿宋_GB2312" w:hAnsi="仿宋" w:eastAsia="仿宋_GB2312"/>
          <w:sz w:val="28"/>
          <w:szCs w:val="28"/>
        </w:rPr>
        <w:t>：</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（一）学院默认：</w:t>
      </w:r>
    </w:p>
    <w:p>
      <w:pPr>
        <w:spacing w:line="440" w:lineRule="exact"/>
        <w:ind w:firstLine="551" w:firstLineChars="196"/>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履约保证金：中标人须在合同签订前，按相关规定向采购人缴交中标金额的5%作为履约保证金。项目交货并验收合格，经正常使用十二个月且无质量及服务问题后，由中标人提出退款申请，采购人在收到中标人退款申请后10个工作日内无息返还履约保证金。</w:t>
      </w:r>
    </w:p>
    <w:p>
      <w:pPr>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2.付款方式：全部货物交货经安装调试，并经验收合格后，15个工作日内采购人凭收讫货物的验收凭证和货物验收合格文件等材料以 转账 方式向供应商一次性支付  100% 的货物价款。</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（二）特殊方式：</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（以上财务处审批）</w:t>
      </w:r>
    </w:p>
    <w:p>
      <w:pPr>
        <w:spacing w:line="440" w:lineRule="exact"/>
        <w:ind w:firstLine="551" w:firstLineChars="196"/>
        <w:rPr>
          <w:rFonts w:ascii="仿宋_GB2312" w:hAnsi="仿宋" w:eastAsia="仿宋_GB2312"/>
          <w:b/>
          <w:sz w:val="28"/>
          <w:szCs w:val="28"/>
        </w:rPr>
      </w:pPr>
    </w:p>
    <w:p>
      <w:pPr>
        <w:tabs>
          <w:tab w:val="left" w:pos="0"/>
        </w:tabs>
        <w:adjustRightInd w:val="0"/>
        <w:spacing w:line="44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三、质保期：</w:t>
      </w:r>
      <w:r>
        <w:rPr>
          <w:rFonts w:hint="eastAsia" w:ascii="仿宋_GB2312" w:hAnsi="仿宋" w:eastAsia="仿宋_GB2312"/>
          <w:sz w:val="28"/>
          <w:szCs w:val="28"/>
        </w:rPr>
        <w:t>免费保修期为  年。（从货到验收合格之日起算）</w:t>
      </w:r>
    </w:p>
    <w:p>
      <w:pPr>
        <w:spacing w:line="440" w:lineRule="exact"/>
        <w:ind w:firstLine="551" w:firstLineChars="196"/>
        <w:rPr>
          <w:rFonts w:ascii="仿宋_GB2312" w:hAnsi="宋体" w:eastAsia="仿宋_GB2312"/>
          <w:sz w:val="28"/>
          <w:szCs w:val="28"/>
        </w:rPr>
      </w:pPr>
      <w:r>
        <w:rPr>
          <w:rFonts w:hint="eastAsia" w:ascii="仿宋_GB2312" w:hAnsi="仿宋" w:eastAsia="仿宋_GB2312"/>
          <w:b/>
          <w:sz w:val="28"/>
          <w:szCs w:val="28"/>
        </w:rPr>
        <w:t>四、交货日期</w:t>
      </w:r>
      <w:r>
        <w:rPr>
          <w:rFonts w:hint="eastAsia" w:ascii="仿宋_GB2312" w:hAnsi="宋体" w:eastAsia="仿宋_GB2312"/>
          <w:sz w:val="28"/>
          <w:szCs w:val="28"/>
        </w:rPr>
        <w:t>：</w:t>
      </w:r>
      <w:r>
        <w:rPr>
          <w:rFonts w:hint="eastAsia" w:ascii="仿宋_GB2312" w:hAnsi="仿宋" w:eastAsia="仿宋_GB2312"/>
          <w:sz w:val="28"/>
          <w:szCs w:val="28"/>
        </w:rPr>
        <w:t>合同签订后    天完成交货。</w:t>
      </w:r>
    </w:p>
    <w:p>
      <w:pPr>
        <w:tabs>
          <w:tab w:val="left" w:pos="900"/>
          <w:tab w:val="left" w:pos="1100"/>
        </w:tabs>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五、安装要求：</w:t>
      </w:r>
    </w:p>
    <w:p>
      <w:pPr>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（一）常规：</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中标供应商必须在采购人指定的地点免费进行货物的安装，安装所需的相应配套设施由中标供应商自行负责解决，采购人提供必须的现场安装条件。如采购人因为基建施工等原因影响中标供应商进场安装，采购人应及时通知中标供应商，完工期可适当顺延。如中标供应商不按本合同约定提交设备，所产生的任何费用由中标供应商负责，采购人对由此所引起的变动不予确认。</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1.安装调试：</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2.技术服务：</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3.人员培训：</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4.技术资料（含教材）的质量要求和技术标准： </w:t>
      </w:r>
    </w:p>
    <w:p>
      <w:pPr>
        <w:spacing w:line="44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（二）特殊要求，自行填写</w:t>
      </w:r>
    </w:p>
    <w:p>
      <w:pPr>
        <w:spacing w:line="440" w:lineRule="exact"/>
        <w:ind w:firstLine="560" w:firstLineChars="200"/>
        <w:rPr>
          <w:rFonts w:ascii="仿宋_GB2312" w:hAnsi="宋体" w:eastAsia="仿宋_GB2312"/>
          <w:sz w:val="28"/>
          <w:szCs w:val="28"/>
        </w:rPr>
      </w:pPr>
      <w:r>
        <w:rPr>
          <w:rFonts w:ascii="仿宋_GB2312" w:hAnsi="宋体" w:eastAsia="仿宋_GB2312"/>
          <w:sz w:val="28"/>
          <w:szCs w:val="28"/>
        </w:rPr>
        <w:t>采购需求应当合规、完整、明确。采购需求应当符合国家法律法规规定，执行国家相关标准、行业标准、地方标准等标准规范，落实政府采购支持节能环保、促进中小企业发展等政策要求。除因技术复杂或者性质特殊，不能确定详细规格或者具体要求外，采购需求应当完整、明确。必要时，应当就确定采购需求征求相关供应商、专家的意见。采购需求应当包括采购对象需实现的功能或者目标，满足项目需要的所有技术、服务、安全等要求，采购对象的数量、交付或实施的时间和地点，采购对象的验收标准等内容。采购需求描述应当清楚明了、规范表述、含义准确，能够通过客观指标量化的应当量化。</w:t>
      </w:r>
    </w:p>
    <w:p>
      <w:pPr>
        <w:tabs>
          <w:tab w:val="left" w:pos="0"/>
        </w:tabs>
        <w:adjustRightInd w:val="0"/>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六、验收要求：</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（一）常规：</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到货验收：货物送至采购人安装现场后，中标供应商和采购人一同拆箱，对其全部货物、零件、配件的型号、规格、数量、外型、外观、包装进行到货验收。中标供应商应负责在项目验收时将系统的全部有关技术文件、资料、及安装、测试报告等文档汇集成册交付项目单位。</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2试运行：中标供应商应对货物的整体性能和功能进行自检，自检结果必须符合招标文件要求及合同中的相关条款，自检合格后，转入为期天的试运行。试运行结束后，中标供应商应向采购人提交自检记录和试运行记录，并提出验收申请。</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3.最终验收</w:t>
      </w:r>
    </w:p>
    <w:p>
      <w:pPr>
        <w:tabs>
          <w:tab w:val="left" w:pos="0"/>
        </w:tabs>
        <w:adjustRightInd w:val="0"/>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采购人在收到中标供应商的验收申请后天内，采购人和中标供应商共同进行设备的验收。采购人将按照政府采购合同规定的技术、服务、安全标准组织对中标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中标供应商应无条件于天内免费更换，重新检测并调试清楚后重新提交验收申请。在此期间，中标供应商在采购人现场进行安装、调试、集成、试运行直至验收所发生的一切费用由中标供应商承担且已含在投标总价中。</w:t>
      </w:r>
    </w:p>
    <w:p>
      <w:pPr>
        <w:tabs>
          <w:tab w:val="left" w:pos="0"/>
        </w:tabs>
        <w:adjustRightInd w:val="0"/>
        <w:spacing w:line="44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（二）特殊要求自行填写</w:t>
      </w:r>
    </w:p>
    <w:p>
      <w:pPr>
        <w:tabs>
          <w:tab w:val="left" w:pos="900"/>
          <w:tab w:val="left" w:pos="1100"/>
        </w:tabs>
        <w:spacing w:line="440" w:lineRule="exact"/>
        <w:ind w:firstLine="551" w:firstLineChars="196"/>
        <w:rPr>
          <w:rFonts w:ascii="仿宋_GB2312" w:hAnsi="仿宋" w:eastAsia="仿宋_GB2312"/>
          <w:b/>
          <w:bCs/>
          <w:sz w:val="28"/>
          <w:szCs w:val="28"/>
        </w:rPr>
      </w:pPr>
      <w:r>
        <w:rPr>
          <w:rFonts w:hint="eastAsia" w:ascii="仿宋_GB2312" w:hAnsi="仿宋" w:eastAsia="仿宋_GB2312"/>
          <w:b/>
          <w:bCs/>
          <w:sz w:val="28"/>
          <w:szCs w:val="28"/>
        </w:rPr>
        <w:t>七、售后服务要求：</w:t>
      </w:r>
    </w:p>
    <w:p>
      <w:pPr>
        <w:tabs>
          <w:tab w:val="left" w:pos="900"/>
          <w:tab w:val="left" w:pos="1100"/>
        </w:tabs>
        <w:spacing w:line="440" w:lineRule="exact"/>
        <w:ind w:firstLine="551" w:firstLineChars="196"/>
        <w:rPr>
          <w:rFonts w:ascii="仿宋_GB2312" w:hAnsi="宋体" w:eastAsia="仿宋_GB2312"/>
          <w:sz w:val="28"/>
          <w:szCs w:val="28"/>
        </w:rPr>
      </w:pPr>
      <w:r>
        <w:rPr>
          <w:rFonts w:hint="eastAsia" w:ascii="仿宋_GB2312" w:hAnsi="仿宋" w:eastAsia="仿宋_GB2312"/>
          <w:b/>
          <w:bCs/>
          <w:sz w:val="28"/>
          <w:szCs w:val="28"/>
        </w:rPr>
        <w:t>（一）常规：</w:t>
      </w:r>
      <w:r>
        <w:rPr>
          <w:rFonts w:hint="eastAsia" w:ascii="仿宋_GB2312" w:hAnsi="宋体" w:eastAsia="仿宋_GB2312"/>
          <w:sz w:val="28"/>
          <w:szCs w:val="28"/>
        </w:rPr>
        <w:t>在质量保证期内设备运行发生故障时，中标供应商在接到采购人故障通知后</w:t>
      </w:r>
      <w:r>
        <w:rPr>
          <w:rFonts w:hint="eastAsia" w:ascii="仿宋_GB2312" w:hAnsi="宋体" w:eastAsia="仿宋_GB2312"/>
          <w:sz w:val="28"/>
          <w:szCs w:val="28"/>
          <w:u w:val="single"/>
        </w:rPr>
        <w:t xml:space="preserve">  4  </w:t>
      </w:r>
      <w:r>
        <w:rPr>
          <w:rFonts w:hint="eastAsia" w:ascii="仿宋_GB2312" w:hAnsi="宋体" w:eastAsia="仿宋_GB2312"/>
          <w:sz w:val="28"/>
          <w:szCs w:val="28"/>
        </w:rPr>
        <w:t>小时内应委派专业技术人员到现场免费提供咨询、维修和更换零部件等服务，并及时填写维修报告（包括故障原因、处理情况及采购人意见等）报采购人备案，若</w:t>
      </w:r>
      <w:r>
        <w:rPr>
          <w:rFonts w:hint="eastAsia" w:ascii="仿宋_GB2312" w:hAnsi="宋体" w:eastAsia="仿宋_GB2312"/>
          <w:sz w:val="28"/>
          <w:szCs w:val="28"/>
          <w:u w:val="single"/>
        </w:rPr>
        <w:t xml:space="preserve">  48  </w:t>
      </w:r>
      <w:r>
        <w:rPr>
          <w:rFonts w:hint="eastAsia" w:ascii="仿宋_GB2312" w:hAnsi="宋体" w:eastAsia="仿宋_GB2312"/>
          <w:sz w:val="28"/>
          <w:szCs w:val="28"/>
        </w:rPr>
        <w:t xml:space="preserve"> 小时内无法排除故障，则应先提供同档次备用产品供采购人使用，其中发生一切费用由中标供应商承担。质量保证期内中标供应商有责任对设备进行不定期的巡查检修，且中标供应商需每年为采购人机修人员免费进行一至两次的维修技术培训，免费保修期结束前一个月内中标供应商应负责对货物进行一次免费全面检查，如发现潜在问题，应负责排除，保证货物的正常运行。</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宋体" w:eastAsia="仿宋_GB2312"/>
          <w:b/>
          <w:sz w:val="28"/>
          <w:szCs w:val="28"/>
        </w:rPr>
        <w:t>（二）其他，自行补充或修改</w:t>
      </w:r>
    </w:p>
    <w:p>
      <w:pPr>
        <w:tabs>
          <w:tab w:val="left" w:pos="900"/>
          <w:tab w:val="left" w:pos="1100"/>
        </w:tabs>
        <w:spacing w:line="440" w:lineRule="exact"/>
        <w:ind w:firstLine="700" w:firstLineChars="249"/>
        <w:rPr>
          <w:rFonts w:ascii="仿宋_GB2312" w:hAnsi="宋体" w:eastAsia="仿宋_GB2312" w:cs="宋体"/>
          <w:b/>
          <w:kern w:val="1"/>
          <w:sz w:val="28"/>
          <w:szCs w:val="28"/>
        </w:rPr>
      </w:pPr>
      <w:r>
        <w:rPr>
          <w:rFonts w:hint="eastAsia" w:ascii="仿宋_GB2312" w:hAnsi="宋体" w:eastAsia="仿宋_GB2312" w:cs="宋体"/>
          <w:b/>
          <w:kern w:val="1"/>
          <w:sz w:val="28"/>
          <w:szCs w:val="28"/>
        </w:rPr>
        <w:t>八、违约责任：</w:t>
      </w:r>
    </w:p>
    <w:p>
      <w:pPr>
        <w:tabs>
          <w:tab w:val="left" w:pos="900"/>
          <w:tab w:val="left" w:pos="1100"/>
        </w:tabs>
        <w:spacing w:line="440" w:lineRule="exact"/>
        <w:ind w:firstLine="700" w:firstLineChars="249"/>
        <w:rPr>
          <w:rFonts w:ascii="仿宋_GB2312" w:hAnsi="宋体" w:eastAsia="仿宋_GB2312" w:cs="宋体"/>
          <w:kern w:val="1"/>
          <w:sz w:val="28"/>
          <w:szCs w:val="28"/>
        </w:rPr>
      </w:pPr>
      <w:r>
        <w:rPr>
          <w:rFonts w:hint="eastAsia" w:ascii="仿宋_GB2312" w:hAnsi="宋体" w:eastAsia="仿宋_GB2312" w:cs="宋体"/>
          <w:b/>
          <w:kern w:val="1"/>
          <w:sz w:val="28"/>
          <w:szCs w:val="28"/>
        </w:rPr>
        <w:t>1.常规：</w:t>
      </w:r>
      <w:r>
        <w:rPr>
          <w:rFonts w:hint="eastAsia" w:ascii="仿宋_GB2312" w:hAnsi="宋体" w:eastAsia="仿宋_GB2312" w:cs="宋体"/>
          <w:kern w:val="1"/>
          <w:sz w:val="28"/>
          <w:szCs w:val="28"/>
        </w:rPr>
        <w:t>按学校合同模板相关内容填写</w:t>
      </w:r>
    </w:p>
    <w:p>
      <w:pPr>
        <w:tabs>
          <w:tab w:val="left" w:pos="900"/>
          <w:tab w:val="left" w:pos="1100"/>
        </w:tabs>
        <w:spacing w:line="440" w:lineRule="exact"/>
        <w:ind w:firstLine="700" w:firstLineChars="249"/>
        <w:rPr>
          <w:rFonts w:ascii="仿宋_GB2312" w:hAnsi="宋体" w:eastAsia="仿宋_GB2312" w:cs="宋体"/>
          <w:b/>
          <w:kern w:val="1"/>
          <w:sz w:val="28"/>
          <w:szCs w:val="28"/>
        </w:rPr>
      </w:pPr>
      <w:r>
        <w:rPr>
          <w:rFonts w:hint="eastAsia" w:ascii="仿宋_GB2312" w:hAnsi="宋体" w:eastAsia="仿宋_GB2312" w:cs="宋体"/>
          <w:b/>
          <w:kern w:val="1"/>
          <w:sz w:val="28"/>
          <w:szCs w:val="28"/>
        </w:rPr>
        <w:t>2.特殊要求，自行填写</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九、评分方法：</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（一）最低评标价法：</w:t>
      </w:r>
      <w:r>
        <w:rPr>
          <w:rFonts w:hint="eastAsia" w:ascii="仿宋_GB2312" w:hAnsi="仿宋" w:eastAsia="仿宋_GB2312"/>
          <w:sz w:val="28"/>
          <w:szCs w:val="28"/>
        </w:rPr>
        <w:t>在满足所有资质和参数的情况下，报价最低者中标。</w:t>
      </w:r>
    </w:p>
    <w:p>
      <w:pPr>
        <w:tabs>
          <w:tab w:val="left" w:pos="900"/>
          <w:tab w:val="left" w:pos="1100"/>
        </w:tabs>
        <w:spacing w:line="440" w:lineRule="exact"/>
        <w:ind w:firstLine="551" w:firstLineChars="196"/>
        <w:rPr>
          <w:rFonts w:ascii="仿宋_GB2312" w:hAnsi="仿宋" w:eastAsia="仿宋_GB2312"/>
          <w:sz w:val="28"/>
          <w:szCs w:val="28"/>
        </w:rPr>
      </w:pPr>
      <w:r>
        <w:rPr>
          <w:rFonts w:hint="eastAsia" w:ascii="仿宋_GB2312" w:hAnsi="仿宋" w:eastAsia="仿宋_GB2312"/>
          <w:b/>
          <w:sz w:val="28"/>
          <w:szCs w:val="28"/>
        </w:rPr>
        <w:t>（二）综合评分法：</w:t>
      </w:r>
      <w:r>
        <w:rPr>
          <w:rFonts w:hint="eastAsia" w:ascii="仿宋_GB2312" w:hAnsi="仿宋" w:eastAsia="仿宋_GB2312"/>
          <w:sz w:val="28"/>
          <w:szCs w:val="28"/>
        </w:rPr>
        <w:t>商务分+技术分+价格分（</w:t>
      </w:r>
      <w:r>
        <w:rPr>
          <w:rFonts w:hint="eastAsia" w:ascii="仿宋_GB2312" w:hAnsi="仿宋" w:eastAsia="仿宋_GB2312"/>
          <w:b/>
          <w:sz w:val="28"/>
          <w:szCs w:val="28"/>
        </w:rPr>
        <w:t>详见附件，如无特殊需求填写按学校规定）</w:t>
      </w:r>
      <w:r>
        <w:rPr>
          <w:rFonts w:hint="eastAsia" w:ascii="仿宋_GB2312" w:hAnsi="宋体" w:eastAsia="仿宋_GB2312"/>
          <w:sz w:val="28"/>
          <w:szCs w:val="28"/>
        </w:rPr>
        <w:t>（货物类分值参考：价格45分+商务15分+技术分40分）</w:t>
      </w:r>
    </w:p>
    <w:p>
      <w:pPr>
        <w:tabs>
          <w:tab w:val="left" w:pos="900"/>
          <w:tab w:val="left" w:pos="1100"/>
        </w:tabs>
        <w:spacing w:line="440" w:lineRule="exact"/>
        <w:ind w:firstLine="551" w:firstLineChars="196"/>
        <w:rPr>
          <w:rFonts w:ascii="仿宋_GB2312" w:hAnsi="仿宋" w:eastAsia="仿宋_GB2312"/>
          <w:b/>
          <w:bCs/>
          <w:sz w:val="28"/>
          <w:szCs w:val="28"/>
        </w:rPr>
      </w:pPr>
      <w:r>
        <w:rPr>
          <w:rFonts w:hint="eastAsia" w:ascii="仿宋_GB2312" w:hAnsi="仿宋" w:eastAsia="仿宋_GB2312"/>
          <w:b/>
          <w:sz w:val="28"/>
          <w:szCs w:val="28"/>
        </w:rPr>
        <w:t>十</w:t>
      </w:r>
      <w:r>
        <w:rPr>
          <w:rFonts w:hint="eastAsia" w:ascii="仿宋_GB2312" w:hAnsi="仿宋" w:eastAsia="仿宋_GB2312"/>
          <w:b/>
          <w:bCs/>
          <w:sz w:val="28"/>
          <w:szCs w:val="28"/>
        </w:rPr>
        <w:t>、样品：提供**作为采购样品。</w:t>
      </w:r>
      <w:r>
        <w:rPr>
          <w:rFonts w:hint="eastAsia" w:ascii="仿宋_GB2312" w:hAnsi="仿宋" w:eastAsia="仿宋_GB2312"/>
          <w:sz w:val="28"/>
          <w:szCs w:val="28"/>
        </w:rPr>
        <w:t>（原则上不可要求提供样品。若不需要提供样品，则填无）</w:t>
      </w:r>
    </w:p>
    <w:p>
      <w:pPr>
        <w:spacing w:line="440" w:lineRule="exact"/>
        <w:ind w:firstLine="551" w:firstLineChars="196"/>
        <w:rPr>
          <w:rFonts w:ascii="仿宋_GB2312" w:hAnsi="仿宋" w:eastAsia="仿宋_GB2312"/>
          <w:sz w:val="28"/>
          <w:szCs w:val="28"/>
        </w:rPr>
      </w:pPr>
      <w:r>
        <w:rPr>
          <w:rFonts w:hint="eastAsia" w:ascii="仿宋_GB2312" w:hAnsi="仿宋" w:eastAsia="仿宋_GB2312"/>
          <w:b/>
          <w:bCs/>
          <w:sz w:val="28"/>
          <w:szCs w:val="28"/>
        </w:rPr>
        <w:t>十一、现场勘察：</w:t>
      </w:r>
      <w:r>
        <w:rPr>
          <w:rFonts w:hint="eastAsia" w:ascii="仿宋_GB2312" w:hAnsi="仿宋" w:eastAsia="仿宋_GB2312"/>
          <w:sz w:val="28"/>
          <w:szCs w:val="28"/>
        </w:rPr>
        <w:t>（若不需要现场勘察，填无）</w:t>
      </w:r>
    </w:p>
    <w:p>
      <w:pPr>
        <w:tabs>
          <w:tab w:val="left" w:pos="900"/>
          <w:tab w:val="left" w:pos="1100"/>
        </w:tabs>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现场勘察联系人： 联系电话：</w:t>
      </w: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0"/>
        </w:tabs>
        <w:adjustRightInd w:val="0"/>
        <w:spacing w:line="440" w:lineRule="exact"/>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（服务类）</w:t>
      </w:r>
    </w:p>
    <w:p>
      <w:pPr>
        <w:tabs>
          <w:tab w:val="left" w:pos="0"/>
        </w:tabs>
        <w:adjustRightInd w:val="0"/>
        <w:spacing w:line="440" w:lineRule="exact"/>
        <w:ind w:firstLine="551" w:firstLineChars="196"/>
        <w:rPr>
          <w:rFonts w:ascii="仿宋_GB2312" w:hAnsi="宋体" w:eastAsia="仿宋_GB2312"/>
          <w:b/>
          <w:sz w:val="28"/>
          <w:szCs w:val="28"/>
        </w:rPr>
      </w:pPr>
      <w:r>
        <w:rPr>
          <w:rFonts w:hint="eastAsia" w:ascii="仿宋_GB2312" w:hAnsi="宋体" w:eastAsia="仿宋_GB2312"/>
          <w:b/>
          <w:sz w:val="28"/>
          <w:szCs w:val="28"/>
        </w:rPr>
        <w:t>一、项目预算：     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（一）资金列支渠道：</w:t>
            </w:r>
          </w:p>
        </w:tc>
        <w:tc>
          <w:tcPr>
            <w:tcW w:w="5579" w:type="dxa"/>
            <w:shd w:val="clear" w:color="auto" w:fill="auto"/>
            <w:vAlign w:val="top"/>
          </w:tcPr>
          <w:p>
            <w:pPr>
              <w:tabs>
                <w:tab w:val="left" w:pos="0"/>
              </w:tabs>
              <w:adjustRightInd w:val="0"/>
              <w:spacing w:line="440" w:lineRule="exact"/>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（二）资金性质：</w:t>
            </w:r>
          </w:p>
        </w:tc>
        <w:tc>
          <w:tcPr>
            <w:tcW w:w="5579" w:type="dxa"/>
            <w:shd w:val="clear" w:color="auto" w:fill="auto"/>
            <w:vAlign w:val="top"/>
          </w:tcPr>
          <w:p>
            <w:pPr>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本年度一般公共预算拨款（元）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结余结转资金</w:t>
            </w:r>
            <w:r>
              <w:rPr>
                <w:rFonts w:hint="eastAsia" w:ascii="新宋体" w:hAnsi="新宋体" w:eastAsia="新宋体"/>
                <w:sz w:val="22"/>
                <w:u w:val="single"/>
              </w:rPr>
              <w:t xml:space="preserve">    （元）  </w:t>
            </w:r>
          </w:p>
          <w:p>
            <w:pPr>
              <w:spacing w:line="440" w:lineRule="exact"/>
              <w:rPr>
                <w:rFonts w:ascii="新宋体" w:hAnsi="新宋体" w:eastAsia="新宋体"/>
                <w:sz w:val="22"/>
                <w:u w:val="single"/>
              </w:rPr>
            </w:pPr>
            <w:r>
              <w:rPr>
                <w:rFonts w:hint="eastAsia" w:ascii="新宋体" w:hAnsi="新宋体" w:eastAsia="新宋体"/>
                <w:b/>
                <w:sz w:val="22"/>
              </w:rPr>
              <w:t>□</w:t>
            </w:r>
            <w:r>
              <w:rPr>
                <w:rFonts w:hint="eastAsia" w:ascii="新宋体" w:hAnsi="新宋体" w:eastAsia="新宋体"/>
                <w:sz w:val="22"/>
              </w:rPr>
              <w:t>基金预算拨款</w:t>
            </w:r>
            <w:r>
              <w:rPr>
                <w:rFonts w:hint="eastAsia" w:ascii="新宋体" w:hAnsi="新宋体" w:eastAsia="新宋体"/>
                <w:sz w:val="22"/>
                <w:u w:val="single"/>
              </w:rPr>
              <w:t xml:space="preserve">    （元）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经营服务收入</w:t>
            </w:r>
            <w:r>
              <w:rPr>
                <w:rFonts w:hint="eastAsia" w:ascii="新宋体" w:hAnsi="新宋体" w:eastAsia="新宋体"/>
                <w:sz w:val="22"/>
                <w:u w:val="single"/>
              </w:rPr>
              <w:t xml:space="preserve">    （元）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其他收入</w:t>
            </w:r>
            <w:r>
              <w:rPr>
                <w:rFonts w:hint="eastAsia" w:ascii="新宋体" w:hAnsi="新宋体" w:eastAsia="新宋体"/>
                <w:sz w:val="22"/>
                <w:u w:val="single"/>
              </w:rPr>
              <w:t xml:space="preserve">    （元）</w:t>
            </w:r>
          </w:p>
          <w:p>
            <w:pPr>
              <w:tabs>
                <w:tab w:val="left" w:pos="0"/>
              </w:tabs>
              <w:adjustRightInd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上级补助收入</w:t>
            </w:r>
            <w:r>
              <w:rPr>
                <w:rFonts w:hint="eastAsia" w:ascii="新宋体" w:hAnsi="新宋体" w:eastAsia="新宋体"/>
                <w:sz w:val="22"/>
                <w:u w:val="single"/>
              </w:rPr>
              <w:t xml:space="preserve">   （元）</w:t>
            </w:r>
          </w:p>
          <w:p>
            <w:pPr>
              <w:tabs>
                <w:tab w:val="left" w:pos="0"/>
              </w:tabs>
              <w:adjustRightInd w:val="0"/>
              <w:spacing w:line="440" w:lineRule="exact"/>
              <w:rPr>
                <w:rFonts w:ascii="仿宋_GB2312" w:hAnsi="宋体" w:eastAsia="仿宋_GB2312"/>
                <w:b/>
                <w:sz w:val="28"/>
                <w:szCs w:val="28"/>
              </w:rPr>
            </w:pPr>
            <w:r>
              <w:rPr>
                <w:rFonts w:hint="eastAsia" w:ascii="新宋体" w:hAnsi="新宋体" w:eastAsia="新宋体"/>
                <w:b/>
                <w:sz w:val="22"/>
              </w:rPr>
              <w:t>□</w:t>
            </w:r>
            <w:r>
              <w:rPr>
                <w:rFonts w:hint="eastAsia" w:ascii="新宋体" w:hAnsi="新宋体" w:eastAsia="新宋体"/>
                <w:sz w:val="22"/>
              </w:rPr>
              <w:t>附属单位上缴收入</w:t>
            </w:r>
            <w:r>
              <w:rPr>
                <w:rFonts w:hint="eastAsia" w:ascii="新宋体" w:hAnsi="新宋体" w:eastAsia="新宋体"/>
                <w:sz w:val="22"/>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（三）资金支付方式：</w:t>
            </w:r>
          </w:p>
        </w:tc>
        <w:tc>
          <w:tcPr>
            <w:tcW w:w="5579" w:type="dxa"/>
            <w:shd w:val="clear" w:color="auto" w:fill="auto"/>
            <w:vAlign w:val="top"/>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1.网超：</w:t>
            </w:r>
            <w:r>
              <w:rPr>
                <w:rFonts w:hint="eastAsia" w:ascii="新宋体" w:hAnsi="新宋体" w:eastAsia="新宋体"/>
                <w:sz w:val="22"/>
              </w:rPr>
              <w:t>□自行支付  □国库支付</w:t>
            </w:r>
          </w:p>
          <w:p>
            <w:pPr>
              <w:tabs>
                <w:tab w:val="left" w:pos="0"/>
              </w:tabs>
              <w:adjustRightInd w:val="0"/>
              <w:spacing w:line="440" w:lineRule="exact"/>
              <w:rPr>
                <w:rFonts w:ascii="新宋体" w:hAnsi="新宋体" w:eastAsia="新宋体"/>
                <w:sz w:val="22"/>
              </w:rPr>
            </w:pPr>
            <w:r>
              <w:rPr>
                <w:rFonts w:hint="eastAsia" w:ascii="仿宋_GB2312" w:hAnsi="宋体" w:eastAsia="仿宋_GB2312"/>
                <w:b/>
                <w:sz w:val="28"/>
                <w:szCs w:val="28"/>
              </w:rPr>
              <w:t>2.招标：</w:t>
            </w:r>
            <w:r>
              <w:rPr>
                <w:rFonts w:hint="eastAsia" w:ascii="新宋体" w:hAnsi="新宋体" w:eastAsia="新宋体"/>
                <w:sz w:val="22"/>
              </w:rPr>
              <w:t xml:space="preserve">□自行结算     </w:t>
            </w:r>
          </w:p>
          <w:p>
            <w:pPr>
              <w:tabs>
                <w:tab w:val="left" w:pos="0"/>
              </w:tabs>
              <w:adjustRightInd w:val="0"/>
              <w:spacing w:line="440" w:lineRule="exact"/>
              <w:ind w:firstLine="1100" w:firstLineChars="500"/>
              <w:rPr>
                <w:rFonts w:ascii="新宋体" w:hAnsi="新宋体" w:eastAsia="新宋体"/>
                <w:sz w:val="22"/>
              </w:rPr>
            </w:pPr>
            <w:r>
              <w:rPr>
                <w:rFonts w:hint="eastAsia" w:ascii="新宋体" w:hAnsi="新宋体" w:eastAsia="新宋体"/>
                <w:sz w:val="22"/>
              </w:rPr>
              <w:t xml:space="preserve">□直接支付       </w:t>
            </w:r>
          </w:p>
          <w:p>
            <w:pPr>
              <w:tabs>
                <w:tab w:val="left" w:pos="0"/>
              </w:tabs>
              <w:adjustRightInd w:val="0"/>
              <w:spacing w:line="440" w:lineRule="exact"/>
              <w:ind w:firstLine="1100" w:firstLineChars="500"/>
              <w:rPr>
                <w:rFonts w:ascii="新宋体" w:hAnsi="新宋体" w:eastAsia="新宋体"/>
                <w:sz w:val="22"/>
              </w:rPr>
            </w:pPr>
            <w:r>
              <w:rPr>
                <w:rFonts w:hint="eastAsia" w:ascii="新宋体" w:hAnsi="新宋体" w:eastAsia="新宋体"/>
                <w:sz w:val="22"/>
              </w:rPr>
              <w:t>□授权支付</w:t>
            </w:r>
          </w:p>
        </w:tc>
      </w:tr>
    </w:tbl>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二、付款方式</w:t>
      </w:r>
      <w:r>
        <w:rPr>
          <w:rFonts w:hint="eastAsia" w:ascii="仿宋_GB2312" w:hAnsi="仿宋" w:eastAsia="仿宋_GB2312"/>
          <w:sz w:val="28"/>
          <w:szCs w:val="28"/>
        </w:rPr>
        <w:t>：</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（一）学院默认：</w:t>
      </w:r>
    </w:p>
    <w:p>
      <w:pPr>
        <w:spacing w:line="440" w:lineRule="exact"/>
        <w:ind w:firstLine="551" w:firstLineChars="196"/>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履约保证金：中标人须在合同签订前，按相关规定向采购人缴交中标金额的5%作为履约保证金。项目交货并验收合格，经正常使用十二个月且无质量及服务问题后，由中标人提出退款申请，采购人在收到中标人退款申请后10个工作日内无息返还履约保证金。</w:t>
      </w:r>
    </w:p>
    <w:p>
      <w:pPr>
        <w:spacing w:line="440" w:lineRule="exact"/>
        <w:ind w:firstLine="551" w:firstLineChars="196"/>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付款方式：根据项目特点对服务期内的服务实施情况进行整体或分期考核,结合考核情况和服务效果进行验收。经验收合格后，15个工作日内采购人凭收讫服务的验收凭证、验收合格文件等材料以 转账 方式向供应商支付相应的价款。（应根据项目特点，填写完整）</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（二）特殊方式：</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（以上财务处审批）</w:t>
      </w:r>
    </w:p>
    <w:p>
      <w:pPr>
        <w:spacing w:line="440" w:lineRule="exact"/>
        <w:ind w:firstLine="551" w:firstLineChars="196"/>
        <w:rPr>
          <w:rFonts w:ascii="仿宋_GB2312" w:hAnsi="仿宋" w:eastAsia="仿宋_GB2312"/>
          <w:b/>
          <w:sz w:val="28"/>
          <w:szCs w:val="28"/>
        </w:rPr>
      </w:pPr>
    </w:p>
    <w:p>
      <w:pPr>
        <w:tabs>
          <w:tab w:val="left" w:pos="0"/>
        </w:tabs>
        <w:adjustRightInd w:val="0"/>
        <w:spacing w:line="44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三、服务期： 月（起止时间）</w:t>
      </w:r>
    </w:p>
    <w:p>
      <w:pPr>
        <w:spacing w:line="440" w:lineRule="exact"/>
        <w:ind w:firstLine="551" w:firstLineChars="196"/>
        <w:rPr>
          <w:rFonts w:ascii="仿宋_GB2312" w:hAnsi="宋体" w:eastAsia="仿宋_GB2312"/>
          <w:sz w:val="28"/>
          <w:szCs w:val="28"/>
        </w:rPr>
      </w:pPr>
      <w:r>
        <w:rPr>
          <w:rFonts w:hint="eastAsia" w:ascii="仿宋_GB2312" w:hAnsi="仿宋" w:eastAsia="仿宋_GB2312"/>
          <w:b/>
          <w:sz w:val="28"/>
          <w:szCs w:val="28"/>
        </w:rPr>
        <w:t>四、服务进场时间</w:t>
      </w:r>
      <w:r>
        <w:rPr>
          <w:rFonts w:hint="eastAsia" w:ascii="仿宋_GB2312" w:hAnsi="宋体" w:eastAsia="仿宋_GB2312"/>
          <w:sz w:val="28"/>
          <w:szCs w:val="28"/>
        </w:rPr>
        <w:t>：</w:t>
      </w:r>
      <w:r>
        <w:rPr>
          <w:rFonts w:hint="eastAsia" w:ascii="仿宋_GB2312" w:hAnsi="仿宋" w:eastAsia="仿宋_GB2312"/>
          <w:sz w:val="28"/>
          <w:szCs w:val="28"/>
        </w:rPr>
        <w:t>合同签订后    天进场服务。</w:t>
      </w:r>
    </w:p>
    <w:p>
      <w:pPr>
        <w:tabs>
          <w:tab w:val="left" w:pos="900"/>
          <w:tab w:val="left" w:pos="1100"/>
        </w:tabs>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五、服务要求：（</w:t>
      </w:r>
      <w:r>
        <w:rPr>
          <w:rFonts w:hint="eastAsia" w:ascii="仿宋_GB2312" w:hAnsi="宋体" w:eastAsia="仿宋_GB2312"/>
          <w:b/>
          <w:sz w:val="28"/>
          <w:szCs w:val="28"/>
        </w:rPr>
        <w:t>自行填写</w:t>
      </w:r>
      <w:r>
        <w:rPr>
          <w:rFonts w:hint="eastAsia" w:ascii="仿宋_GB2312" w:hAnsi="仿宋" w:eastAsia="仿宋_GB2312"/>
          <w:b/>
          <w:bCs/>
          <w:sz w:val="28"/>
          <w:szCs w:val="28"/>
        </w:rPr>
        <w:t>）</w:t>
      </w:r>
    </w:p>
    <w:p>
      <w:pPr>
        <w:tabs>
          <w:tab w:val="left" w:pos="0"/>
        </w:tabs>
        <w:adjustRightInd w:val="0"/>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六、验收要求：（</w:t>
      </w:r>
      <w:r>
        <w:rPr>
          <w:rFonts w:hint="eastAsia" w:ascii="仿宋_GB2312" w:hAnsi="宋体" w:eastAsia="仿宋_GB2312"/>
          <w:b/>
          <w:sz w:val="28"/>
          <w:szCs w:val="28"/>
        </w:rPr>
        <w:t>自行填写</w:t>
      </w:r>
      <w:r>
        <w:rPr>
          <w:rFonts w:hint="eastAsia" w:ascii="仿宋_GB2312" w:hAnsi="仿宋" w:eastAsia="仿宋_GB2312"/>
          <w:b/>
          <w:bCs/>
          <w:sz w:val="28"/>
          <w:szCs w:val="28"/>
        </w:rPr>
        <w:t>）</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仿宋" w:eastAsia="仿宋_GB2312"/>
          <w:b/>
          <w:bCs/>
          <w:sz w:val="28"/>
          <w:szCs w:val="28"/>
        </w:rPr>
        <w:t>七、</w:t>
      </w:r>
      <w:r>
        <w:rPr>
          <w:rFonts w:hint="eastAsia" w:ascii="仿宋_GB2312" w:hAnsi="宋体" w:eastAsia="仿宋_GB2312" w:cs="宋体"/>
          <w:b/>
          <w:kern w:val="1"/>
          <w:sz w:val="28"/>
          <w:szCs w:val="28"/>
        </w:rPr>
        <w:t>违约责任：</w:t>
      </w:r>
      <w:r>
        <w:rPr>
          <w:rFonts w:hint="eastAsia" w:ascii="仿宋_GB2312" w:hAnsi="仿宋" w:eastAsia="仿宋_GB2312"/>
          <w:b/>
          <w:bCs/>
          <w:sz w:val="28"/>
          <w:szCs w:val="28"/>
        </w:rPr>
        <w:t>（</w:t>
      </w:r>
      <w:r>
        <w:rPr>
          <w:rFonts w:hint="eastAsia" w:ascii="仿宋_GB2312" w:hAnsi="宋体" w:eastAsia="仿宋_GB2312"/>
          <w:b/>
          <w:sz w:val="28"/>
          <w:szCs w:val="28"/>
        </w:rPr>
        <w:t>自行填写</w:t>
      </w:r>
      <w:r>
        <w:rPr>
          <w:rFonts w:hint="eastAsia" w:ascii="仿宋_GB2312" w:hAnsi="仿宋" w:eastAsia="仿宋_GB2312"/>
          <w:b/>
          <w:bCs/>
          <w:sz w:val="28"/>
          <w:szCs w:val="28"/>
        </w:rPr>
        <w:t>）</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八、评分方法：</w:t>
      </w:r>
    </w:p>
    <w:p>
      <w:pPr>
        <w:tabs>
          <w:tab w:val="left" w:pos="900"/>
          <w:tab w:val="left" w:pos="1100"/>
        </w:tabs>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（一）最低评标价法：</w:t>
      </w:r>
      <w:r>
        <w:rPr>
          <w:rFonts w:hint="eastAsia" w:ascii="仿宋_GB2312" w:hAnsi="仿宋" w:eastAsia="仿宋_GB2312"/>
          <w:sz w:val="28"/>
          <w:szCs w:val="28"/>
        </w:rPr>
        <w:t>在满足所有资质和参数的情况下，报价最低者中标。</w:t>
      </w:r>
    </w:p>
    <w:p>
      <w:pPr>
        <w:tabs>
          <w:tab w:val="left" w:pos="900"/>
          <w:tab w:val="left" w:pos="1100"/>
        </w:tabs>
        <w:spacing w:line="440" w:lineRule="exact"/>
        <w:ind w:firstLine="551" w:firstLineChars="196"/>
        <w:rPr>
          <w:rFonts w:ascii="仿宋_GB2312" w:hAnsi="仿宋" w:eastAsia="仿宋_GB2312"/>
          <w:sz w:val="28"/>
          <w:szCs w:val="28"/>
        </w:rPr>
      </w:pPr>
      <w:r>
        <w:rPr>
          <w:rFonts w:hint="eastAsia" w:ascii="仿宋_GB2312" w:hAnsi="仿宋" w:eastAsia="仿宋_GB2312"/>
          <w:b/>
          <w:sz w:val="28"/>
          <w:szCs w:val="28"/>
        </w:rPr>
        <w:t>（二）综合评分法：</w:t>
      </w:r>
      <w:r>
        <w:rPr>
          <w:rFonts w:hint="eastAsia" w:ascii="仿宋_GB2312" w:hAnsi="仿宋" w:eastAsia="仿宋_GB2312"/>
          <w:sz w:val="28"/>
          <w:szCs w:val="28"/>
        </w:rPr>
        <w:t>商务分+技术分+价格分</w:t>
      </w:r>
      <w:r>
        <w:rPr>
          <w:rFonts w:hint="eastAsia" w:ascii="仿宋_GB2312" w:hAnsi="宋体" w:eastAsia="仿宋_GB2312"/>
          <w:sz w:val="28"/>
          <w:szCs w:val="28"/>
        </w:rPr>
        <w:t>（服务类分值：价格分≥10，商务分≤25）</w:t>
      </w:r>
    </w:p>
    <w:p>
      <w:pPr>
        <w:spacing w:line="440" w:lineRule="exact"/>
        <w:ind w:firstLine="551" w:firstLineChars="196"/>
        <w:rPr>
          <w:rFonts w:ascii="仿宋_GB2312" w:hAnsi="仿宋" w:eastAsia="仿宋_GB2312"/>
          <w:sz w:val="28"/>
          <w:szCs w:val="28"/>
        </w:rPr>
      </w:pPr>
      <w:r>
        <w:rPr>
          <w:rFonts w:hint="eastAsia" w:ascii="仿宋_GB2312" w:hAnsi="仿宋" w:eastAsia="仿宋_GB2312"/>
          <w:b/>
          <w:bCs/>
          <w:sz w:val="28"/>
          <w:szCs w:val="28"/>
        </w:rPr>
        <w:t>九、现场勘察：</w:t>
      </w:r>
      <w:r>
        <w:rPr>
          <w:rFonts w:hint="eastAsia" w:ascii="仿宋_GB2312" w:hAnsi="仿宋" w:eastAsia="仿宋_GB2312"/>
          <w:sz w:val="28"/>
          <w:szCs w:val="28"/>
        </w:rPr>
        <w:t>（若不需要现场勘察，填无）</w:t>
      </w:r>
    </w:p>
    <w:p>
      <w:pPr>
        <w:tabs>
          <w:tab w:val="left" w:pos="900"/>
          <w:tab w:val="left" w:pos="1100"/>
        </w:tabs>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现场勘察联系人： 联系电话：</w:t>
      </w:r>
    </w:p>
    <w:p>
      <w:pPr>
        <w:tabs>
          <w:tab w:val="left" w:pos="900"/>
          <w:tab w:val="left" w:pos="1100"/>
        </w:tabs>
        <w:spacing w:line="440" w:lineRule="exact"/>
        <w:ind w:firstLine="551" w:firstLineChars="196"/>
        <w:rPr>
          <w:rFonts w:ascii="仿宋_GB2312" w:hAnsi="宋体" w:eastAsia="仿宋_GB2312"/>
          <w:b/>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700" w:firstLineChars="249"/>
        <w:rPr>
          <w:rFonts w:hint="eastAsia" w:ascii="仿宋_GB2312" w:hAnsi="宋体" w:eastAsia="仿宋_GB2312" w:cs="宋体"/>
          <w:b/>
          <w:kern w:val="1"/>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700" w:firstLineChars="249"/>
        <w:rPr>
          <w:rFonts w:ascii="仿宋_GB2312" w:hAnsi="宋体" w:eastAsia="仿宋_GB2312" w:cs="宋体"/>
          <w:b/>
          <w:kern w:val="1"/>
          <w:sz w:val="28"/>
          <w:szCs w:val="28"/>
        </w:rPr>
      </w:pPr>
    </w:p>
    <w:p>
      <w:pPr>
        <w:tabs>
          <w:tab w:val="left" w:pos="900"/>
          <w:tab w:val="left" w:pos="1100"/>
        </w:tabs>
        <w:spacing w:line="44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附：福州职业技术学院综合评分法评标标准</w:t>
      </w:r>
    </w:p>
    <w:p>
      <w:pPr>
        <w:spacing w:line="440" w:lineRule="exact"/>
        <w:rPr>
          <w:szCs w:val="21"/>
        </w:rPr>
      </w:pPr>
      <w:r>
        <w:rPr>
          <w:rFonts w:hint="eastAsia"/>
          <w:szCs w:val="21"/>
        </w:rPr>
        <w:t>注：请各采购单位提交招标申请材料时同时附上此份招标需求，可根据项目需要在此份范本的基础上自行增减。</w:t>
      </w:r>
    </w:p>
    <w:p>
      <w:pPr>
        <w:snapToGrid w:val="0"/>
        <w:spacing w:line="360" w:lineRule="auto"/>
        <w:jc w:val="center"/>
        <w:outlineLvl w:val="1"/>
        <w:rPr>
          <w:rFonts w:ascii="宋体" w:hAnsi="宋体"/>
          <w:b/>
          <w:bCs/>
          <w:sz w:val="32"/>
          <w:szCs w:val="32"/>
        </w:rPr>
      </w:pPr>
      <w:r>
        <w:rPr>
          <w:rFonts w:hint="eastAsia" w:ascii="宋体" w:hAnsi="宋体"/>
          <w:b/>
          <w:bCs/>
          <w:sz w:val="32"/>
          <w:szCs w:val="32"/>
        </w:rPr>
        <w:t>福州职业技术学院货物类综合评分法评标标准（模版）</w:t>
      </w:r>
    </w:p>
    <w:p>
      <w:pPr>
        <w:tabs>
          <w:tab w:val="left" w:pos="432"/>
        </w:tabs>
        <w:spacing w:line="460" w:lineRule="exact"/>
        <w:rPr>
          <w:rFonts w:ascii="宋体" w:hAnsi="宋体"/>
        </w:rPr>
      </w:pPr>
      <w:r>
        <w:rPr>
          <w:rFonts w:hint="eastAsia" w:ascii="宋体" w:hAnsi="宋体"/>
        </w:rPr>
        <w:t>一、评分按技术、商务和价格三大部分进行，总分为</w:t>
      </w:r>
      <w:r>
        <w:rPr>
          <w:rFonts w:ascii="宋体" w:hAnsi="宋体"/>
        </w:rPr>
        <w:t>100</w:t>
      </w:r>
      <w:r>
        <w:rPr>
          <w:rFonts w:hint="eastAsia" w:ascii="宋体" w:hAnsi="宋体"/>
        </w:rPr>
        <w:t>分</w:t>
      </w:r>
    </w:p>
    <w:p>
      <w:pPr>
        <w:tabs>
          <w:tab w:val="left" w:pos="432"/>
        </w:tabs>
        <w:spacing w:line="460" w:lineRule="exact"/>
        <w:ind w:firstLine="525" w:firstLineChars="250"/>
        <w:rPr>
          <w:rFonts w:ascii="宋体" w:hAnsi="宋体"/>
        </w:rPr>
      </w:pPr>
      <w:r>
        <w:rPr>
          <w:rFonts w:hint="eastAsia" w:ascii="宋体" w:hAnsi="宋体"/>
        </w:rPr>
        <w:t>1.货物：价格分（45-60分）、商务分不高于15分，若需演示，则演示（或样品）部分分值不得超过技术部分总分值的20%。</w:t>
      </w:r>
    </w:p>
    <w:p>
      <w:pPr>
        <w:tabs>
          <w:tab w:val="left" w:pos="432"/>
        </w:tabs>
        <w:spacing w:line="460" w:lineRule="exact"/>
        <w:rPr>
          <w:rFonts w:ascii="宋体" w:hAnsi="宋体"/>
        </w:rPr>
      </w:pPr>
      <w:r>
        <w:rPr>
          <w:rFonts w:hint="eastAsia" w:ascii="宋体" w:hAnsi="宋体"/>
        </w:rPr>
        <w:t>二、具体分值分布如下：（参考价格45分+商务15分+技术分40分）</w:t>
      </w:r>
    </w:p>
    <w:tbl>
      <w:tblPr>
        <w:tblStyle w:val="3"/>
        <w:tblW w:w="9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9939" w:type="dxa"/>
            <w:gridSpan w:val="3"/>
            <w:vAlign w:val="top"/>
          </w:tcPr>
          <w:p>
            <w:pPr>
              <w:spacing w:line="480" w:lineRule="exact"/>
              <w:rPr>
                <w:rFonts w:ascii="宋体" w:hAnsi="宋体"/>
              </w:rPr>
            </w:pPr>
            <w:r>
              <w:rPr>
                <w:rFonts w:ascii="宋体" w:hAnsi="宋体"/>
              </w:rPr>
              <w:t>A</w:t>
            </w:r>
            <w:r>
              <w:rPr>
                <w:rFonts w:hint="eastAsia" w:ascii="宋体" w:hAnsi="宋体"/>
              </w:rPr>
              <w:t>：技术部分评分标准</w:t>
            </w:r>
            <w:r>
              <w:rPr>
                <w:rFonts w:ascii="宋体" w:hAnsi="宋体"/>
              </w:rPr>
              <w:t>(A=</w:t>
            </w:r>
            <w:r>
              <w:rPr>
                <w:rFonts w:hint="eastAsia" w:ascii="宋体" w:hAnsi="宋体"/>
              </w:rPr>
              <w:t>满分40分</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9" w:type="dxa"/>
            <w:gridSpan w:val="3"/>
            <w:vAlign w:val="top"/>
          </w:tcPr>
          <w:p>
            <w:pPr>
              <w:tabs>
                <w:tab w:val="left" w:pos="432"/>
              </w:tabs>
              <w:spacing w:line="460" w:lineRule="exact"/>
              <w:ind w:firstLine="420" w:firstLineChars="200"/>
              <w:rPr>
                <w:rFonts w:ascii="宋体" w:hAnsi="宋体"/>
              </w:rPr>
            </w:pPr>
            <w:r>
              <w:rPr>
                <w:rFonts w:hint="eastAsia" w:ascii="宋体" w:hAnsi="宋体"/>
              </w:rPr>
              <w:t>注：按照榕财采</w:t>
            </w:r>
            <w:r>
              <w:rPr>
                <w:rFonts w:ascii="宋体" w:hAnsi="宋体"/>
              </w:rPr>
              <w:t>[2010]29</w:t>
            </w:r>
            <w:r>
              <w:rPr>
                <w:rFonts w:hint="eastAsia" w:ascii="宋体" w:hAnsi="宋体"/>
              </w:rPr>
              <w:t>号文件规定，若投标人的技术部分</w:t>
            </w:r>
            <w:r>
              <w:rPr>
                <w:rFonts w:ascii="宋体" w:hAnsi="宋体"/>
              </w:rPr>
              <w:t>(A</w:t>
            </w:r>
            <w:r>
              <w:rPr>
                <w:rFonts w:hint="eastAsia" w:ascii="宋体" w:hAnsi="宋体"/>
              </w:rPr>
              <w:t>项</w:t>
            </w:r>
            <w:r>
              <w:rPr>
                <w:rFonts w:ascii="宋体" w:hAnsi="宋体"/>
              </w:rPr>
              <w:t>)</w:t>
            </w:r>
            <w:r>
              <w:rPr>
                <w:rFonts w:hint="eastAsia" w:ascii="宋体" w:hAnsi="宋体"/>
              </w:rPr>
              <w:t>实际得分少于招标文件设定的技术部分总分</w:t>
            </w:r>
            <w:r>
              <w:rPr>
                <w:rFonts w:ascii="宋体" w:hAnsi="宋体"/>
              </w:rPr>
              <w:t>50%[</w:t>
            </w:r>
            <w:r>
              <w:rPr>
                <w:rFonts w:hint="eastAsia" w:ascii="宋体" w:hAnsi="宋体"/>
              </w:rPr>
              <w:t>即20分</w:t>
            </w:r>
            <w:r>
              <w:rPr>
                <w:rFonts w:ascii="宋体" w:hAnsi="宋体"/>
              </w:rPr>
              <w:t>(</w:t>
            </w:r>
            <w:r>
              <w:rPr>
                <w:rFonts w:hint="eastAsia" w:ascii="宋体" w:hAnsi="宋体"/>
              </w:rPr>
              <w:t>含</w:t>
            </w:r>
            <w:r>
              <w:rPr>
                <w:rFonts w:ascii="宋体" w:hAnsi="宋体"/>
              </w:rPr>
              <w:t>)]</w:t>
            </w:r>
            <w:r>
              <w:rPr>
                <w:rFonts w:hint="eastAsia" w:ascii="宋体" w:hAnsi="宋体"/>
              </w:rPr>
              <w:t>，即视为技术部分未实质性响应招标文件要求，按无效投标处理。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8" w:type="dxa"/>
            <w:vAlign w:val="center"/>
          </w:tcPr>
          <w:p>
            <w:pPr>
              <w:tabs>
                <w:tab w:val="left" w:pos="7035"/>
              </w:tabs>
              <w:spacing w:line="460" w:lineRule="exact"/>
              <w:jc w:val="center"/>
              <w:rPr>
                <w:rFonts w:ascii="宋体" w:hAnsi="宋体"/>
                <w:bCs/>
              </w:rPr>
            </w:pPr>
            <w:r>
              <w:rPr>
                <w:rFonts w:hint="eastAsia" w:ascii="宋体" w:hAnsi="宋体"/>
                <w:bCs/>
              </w:rPr>
              <w:t>评分项目</w:t>
            </w:r>
          </w:p>
        </w:tc>
        <w:tc>
          <w:tcPr>
            <w:tcW w:w="850" w:type="dxa"/>
            <w:vAlign w:val="center"/>
          </w:tcPr>
          <w:p>
            <w:pPr>
              <w:spacing w:line="460" w:lineRule="exact"/>
              <w:jc w:val="center"/>
              <w:rPr>
                <w:rFonts w:ascii="宋体" w:hAnsi="宋体"/>
                <w:bCs/>
              </w:rPr>
            </w:pPr>
            <w:r>
              <w:rPr>
                <w:rFonts w:hint="eastAsia" w:ascii="宋体" w:hAnsi="宋体"/>
                <w:bCs/>
              </w:rPr>
              <w:t>分值</w:t>
            </w:r>
          </w:p>
        </w:tc>
        <w:tc>
          <w:tcPr>
            <w:tcW w:w="7421" w:type="dxa"/>
            <w:vAlign w:val="center"/>
          </w:tcPr>
          <w:p>
            <w:pPr>
              <w:snapToGrid w:val="0"/>
              <w:spacing w:line="460" w:lineRule="exact"/>
              <w:jc w:val="center"/>
              <w:rPr>
                <w:rFonts w:ascii="宋体" w:hAnsi="宋体"/>
              </w:rPr>
            </w:pPr>
            <w:r>
              <w:rPr>
                <w:rFonts w:hint="eastAsia" w:ascii="宋体" w:hAnsi="宋体"/>
                <w:bCs/>
              </w:rPr>
              <w:t>评分细则要求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7035"/>
              </w:tabs>
              <w:spacing w:line="460" w:lineRule="exact"/>
              <w:jc w:val="center"/>
              <w:rPr>
                <w:rFonts w:ascii="宋体" w:hAnsi="宋体"/>
                <w:bCs/>
              </w:rPr>
            </w:pPr>
            <w:r>
              <w:rPr>
                <w:rFonts w:ascii="宋体" w:hAnsi="宋体"/>
                <w:bCs/>
              </w:rPr>
              <w:t>A1</w:t>
            </w:r>
            <w:r>
              <w:rPr>
                <w:rFonts w:hint="eastAsia" w:ascii="宋体" w:hAnsi="宋体"/>
                <w:bCs/>
              </w:rPr>
              <w:t>：</w:t>
            </w:r>
            <w:r>
              <w:rPr>
                <w:rFonts w:hint="eastAsia" w:ascii="宋体" w:hAnsi="宋体"/>
              </w:rPr>
              <w:t>技术性能和功能</w:t>
            </w:r>
          </w:p>
        </w:tc>
        <w:tc>
          <w:tcPr>
            <w:tcW w:w="850" w:type="dxa"/>
            <w:vAlign w:val="center"/>
          </w:tcPr>
          <w:p>
            <w:pPr>
              <w:tabs>
                <w:tab w:val="left" w:pos="7035"/>
              </w:tabs>
              <w:spacing w:line="460" w:lineRule="exact"/>
              <w:ind w:firstLine="210" w:firstLineChars="100"/>
              <w:rPr>
                <w:rFonts w:ascii="宋体" w:hAnsi="宋体"/>
              </w:rPr>
            </w:pPr>
          </w:p>
        </w:tc>
        <w:tc>
          <w:tcPr>
            <w:tcW w:w="7421" w:type="dxa"/>
            <w:vAlign w:val="center"/>
          </w:tcPr>
          <w:p>
            <w:pPr>
              <w:snapToGrid w:val="0"/>
              <w:spacing w:line="430" w:lineRule="exact"/>
              <w:rPr>
                <w:rFonts w:ascii="宋体" w:hAnsi="宋体" w:cs="宋体"/>
              </w:rPr>
            </w:pPr>
            <w:r>
              <w:rPr>
                <w:rFonts w:ascii="宋体" w:hAnsi="宋体"/>
              </w:rPr>
              <w:t>评标委员会将依据投标人所提供的技术参数偏离表，</w:t>
            </w:r>
            <w:r>
              <w:rPr>
                <w:rFonts w:hint="eastAsia" w:ascii="宋体" w:hAnsi="宋体"/>
              </w:rPr>
              <w:t>对</w:t>
            </w:r>
            <w:r>
              <w:rPr>
                <w:rFonts w:ascii="宋体" w:hAnsi="宋体"/>
              </w:rPr>
              <w:t>照招标文件中</w:t>
            </w:r>
            <w:r>
              <w:rPr>
                <w:rFonts w:hint="eastAsia" w:ascii="宋体" w:hAnsi="宋体"/>
              </w:rPr>
              <w:t>功能要求及</w:t>
            </w:r>
            <w:r>
              <w:rPr>
                <w:rFonts w:ascii="宋体" w:hAnsi="宋体"/>
              </w:rPr>
              <w:t>技术参数进行评价，并根据以下确定的统一标准进行评分。技术参数负偏离的扣分标准：</w:t>
            </w:r>
            <w:r>
              <w:rPr>
                <w:rFonts w:hint="eastAsia" w:ascii="宋体" w:hAnsi="宋体"/>
              </w:rPr>
              <w:t>带“</w:t>
            </w:r>
            <w:r>
              <w:rPr>
                <w:rFonts w:ascii="宋体" w:hAnsi="宋体" w:cs="宋体"/>
              </w:rPr>
              <w:t>▲</w:t>
            </w:r>
            <w:r>
              <w:rPr>
                <w:rFonts w:hint="eastAsia" w:ascii="宋体" w:hAnsi="宋体"/>
              </w:rPr>
              <w:t>”号条款</w:t>
            </w:r>
            <w:r>
              <w:rPr>
                <w:rFonts w:ascii="宋体" w:hAnsi="宋体"/>
              </w:rPr>
              <w:t>技术参数每负偏离一项扣</w:t>
            </w:r>
            <w:r>
              <w:rPr>
                <w:rFonts w:hint="eastAsia" w:ascii="宋体" w:hAnsi="宋体"/>
              </w:rPr>
              <w:t>3</w:t>
            </w:r>
            <w:r>
              <w:rPr>
                <w:rFonts w:ascii="宋体" w:hAnsi="宋体"/>
              </w:rPr>
              <w:t>分</w:t>
            </w:r>
            <w:r>
              <w:rPr>
                <w:rFonts w:hint="eastAsia" w:ascii="宋体" w:hAnsi="宋体"/>
              </w:rPr>
              <w:t>，其他条款</w:t>
            </w:r>
            <w:r>
              <w:rPr>
                <w:rFonts w:ascii="宋体" w:hAnsi="宋体"/>
              </w:rPr>
              <w:t>每负偏离一项扣</w:t>
            </w:r>
            <w:r>
              <w:rPr>
                <w:rFonts w:hint="eastAsia" w:ascii="宋体" w:hAnsi="宋体"/>
              </w:rPr>
              <w:t>2</w:t>
            </w:r>
            <w:r>
              <w:rPr>
                <w:rFonts w:ascii="宋体" w:hAnsi="宋体"/>
              </w:rPr>
              <w:t>分</w:t>
            </w:r>
            <w:r>
              <w:rPr>
                <w:rFonts w:hint="eastAsia" w:ascii="宋体" w:hAnsi="宋体"/>
              </w:rPr>
              <w:t>，扣完为止</w:t>
            </w:r>
            <w:r>
              <w:rPr>
                <w:rFonts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3850"/>
              </w:tabs>
              <w:spacing w:line="460" w:lineRule="exact"/>
              <w:jc w:val="center"/>
              <w:rPr>
                <w:rFonts w:ascii="宋体" w:hAnsi="宋体"/>
              </w:rPr>
            </w:pPr>
            <w:r>
              <w:rPr>
                <w:rFonts w:ascii="宋体" w:hAnsi="宋体"/>
              </w:rPr>
              <w:t>A</w:t>
            </w:r>
            <w:r>
              <w:rPr>
                <w:rFonts w:hint="eastAsia" w:ascii="宋体" w:hAnsi="宋体"/>
              </w:rPr>
              <w:t>2：项目技术方案</w:t>
            </w:r>
          </w:p>
        </w:tc>
        <w:tc>
          <w:tcPr>
            <w:tcW w:w="850" w:type="dxa"/>
            <w:vAlign w:val="center"/>
          </w:tcPr>
          <w:p>
            <w:pPr>
              <w:tabs>
                <w:tab w:val="left" w:pos="7035"/>
              </w:tabs>
              <w:spacing w:line="460" w:lineRule="exact"/>
              <w:ind w:firstLine="210" w:firstLineChars="100"/>
              <w:rPr>
                <w:rFonts w:ascii="宋体" w:hAnsi="宋体"/>
              </w:rPr>
            </w:pPr>
            <w:r>
              <w:rPr>
                <w:rFonts w:hint="eastAsia" w:ascii="宋体" w:hAnsi="宋体" w:cs="宋体"/>
              </w:rPr>
              <w:t>3</w:t>
            </w:r>
          </w:p>
        </w:tc>
        <w:tc>
          <w:tcPr>
            <w:tcW w:w="7421" w:type="dxa"/>
            <w:vAlign w:val="top"/>
          </w:tcPr>
          <w:p>
            <w:pPr>
              <w:snapToGrid w:val="0"/>
              <w:spacing w:line="430" w:lineRule="exact"/>
              <w:rPr>
                <w:rFonts w:ascii="宋体" w:hAnsi="宋体"/>
              </w:rPr>
            </w:pPr>
            <w:r>
              <w:rPr>
                <w:rFonts w:hint="eastAsia" w:ascii="宋体" w:hAnsi="宋体" w:cs="宋体"/>
              </w:rPr>
              <w:t>根据投标人提供项目建设方案整体效果图、平面布置图整体效果结构的情况，</w:t>
            </w:r>
            <w:r>
              <w:rPr>
                <w:rFonts w:ascii="宋体" w:hAnsi="宋体" w:cs="宋体"/>
              </w:rPr>
              <w:t>由评委进行横向评议，</w:t>
            </w:r>
            <w:r>
              <w:rPr>
                <w:rFonts w:hint="eastAsia" w:ascii="宋体" w:hAnsi="宋体" w:cs="宋体"/>
              </w:rPr>
              <w:t>方案合理、可操作性强的得3分，方案部分详实或可操作性不强的得1分，未提供</w:t>
            </w:r>
            <w:r>
              <w:rPr>
                <w:rFonts w:ascii="宋体" w:hAnsi="宋体" w:cs="宋体"/>
              </w:rPr>
              <w:t>或方案不可行本项不得分。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3850"/>
              </w:tabs>
              <w:spacing w:line="480" w:lineRule="exact"/>
              <w:jc w:val="center"/>
              <w:rPr>
                <w:rFonts w:ascii="宋体" w:hAnsi="宋体"/>
              </w:rPr>
            </w:pPr>
            <w:r>
              <w:rPr>
                <w:rFonts w:ascii="宋体" w:hAnsi="宋体"/>
              </w:rPr>
              <w:t>A</w:t>
            </w:r>
            <w:r>
              <w:rPr>
                <w:rFonts w:hint="eastAsia" w:ascii="宋体" w:hAnsi="宋体"/>
              </w:rPr>
              <w:t>3：施工组织设计方案</w:t>
            </w: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3</w:t>
            </w:r>
          </w:p>
        </w:tc>
        <w:tc>
          <w:tcPr>
            <w:tcW w:w="7421" w:type="dxa"/>
            <w:vAlign w:val="top"/>
          </w:tcPr>
          <w:p>
            <w:pPr>
              <w:pStyle w:val="4"/>
              <w:spacing w:line="430" w:lineRule="exact"/>
              <w:rPr>
                <w:rFonts w:ascii="宋体" w:hAnsi="宋体"/>
                <w:sz w:val="24"/>
              </w:rPr>
            </w:pPr>
            <w:r>
              <w:rPr>
                <w:rFonts w:ascii="宋体" w:hAnsi="宋体" w:cs="宋体"/>
                <w:sz w:val="24"/>
              </w:rPr>
              <w:t>根据投标人所提供的项目实施计划书、主要技术人员配备表、施工进度计划表、货物进场计划、货物安装组织计划等</w:t>
            </w:r>
            <w:r>
              <w:rPr>
                <w:rFonts w:hint="eastAsia" w:ascii="宋体" w:hAnsi="宋体" w:cs="宋体"/>
                <w:sz w:val="24"/>
              </w:rPr>
              <w:t>方案，</w:t>
            </w:r>
            <w:r>
              <w:rPr>
                <w:rFonts w:ascii="宋体" w:hAnsi="宋体" w:cs="宋体"/>
                <w:kern w:val="0"/>
                <w:sz w:val="24"/>
              </w:rPr>
              <w:t>由评委进行横向评议，方案</w:t>
            </w:r>
            <w:r>
              <w:rPr>
                <w:rFonts w:hint="eastAsia" w:ascii="宋体" w:hAnsi="宋体" w:cs="宋体"/>
                <w:kern w:val="0"/>
                <w:sz w:val="24"/>
              </w:rPr>
              <w:t>完整、</w:t>
            </w:r>
            <w:r>
              <w:rPr>
                <w:rFonts w:ascii="宋体" w:hAnsi="宋体" w:cs="宋体"/>
                <w:kern w:val="0"/>
                <w:sz w:val="24"/>
              </w:rPr>
              <w:t>合理</w:t>
            </w:r>
            <w:r>
              <w:rPr>
                <w:rFonts w:hint="eastAsia" w:ascii="宋体" w:hAnsi="宋体" w:cs="宋体"/>
                <w:kern w:val="0"/>
                <w:sz w:val="24"/>
              </w:rPr>
              <w:t>、</w:t>
            </w:r>
            <w:r>
              <w:rPr>
                <w:rFonts w:ascii="宋体" w:hAnsi="宋体" w:cs="宋体"/>
                <w:kern w:val="0"/>
                <w:sz w:val="24"/>
              </w:rPr>
              <w:t>可行的得3分，方案可行但有缺陷的得1分，未提供或方案不可行本项不得分。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r>
              <w:rPr>
                <w:rFonts w:ascii="宋体" w:hAnsi="宋体" w:cs="宋体"/>
              </w:rPr>
              <w:t>A</w:t>
            </w:r>
            <w:r>
              <w:rPr>
                <w:rFonts w:hint="eastAsia" w:ascii="宋体" w:hAnsi="宋体" w:cs="宋体"/>
              </w:rPr>
              <w:t>4</w:t>
            </w:r>
            <w:r>
              <w:rPr>
                <w:rFonts w:ascii="宋体" w:hAnsi="宋体" w:cs="宋体"/>
              </w:rPr>
              <w:t>.生产</w:t>
            </w:r>
            <w:r>
              <w:rPr>
                <w:rFonts w:hint="eastAsia" w:ascii="宋体" w:hAnsi="宋体" w:cs="宋体"/>
              </w:rPr>
              <w:t>能力</w:t>
            </w:r>
            <w:r>
              <w:rPr>
                <w:rFonts w:ascii="宋体" w:hAnsi="宋体" w:cs="宋体"/>
              </w:rPr>
              <w:t>与设备</w:t>
            </w:r>
            <w:r>
              <w:rPr>
                <w:rFonts w:hint="eastAsia" w:ascii="宋体" w:hAnsi="宋体" w:cs="宋体"/>
              </w:rPr>
              <w:t>情况</w:t>
            </w:r>
          </w:p>
        </w:tc>
        <w:tc>
          <w:tcPr>
            <w:tcW w:w="850" w:type="dxa"/>
            <w:vAlign w:val="center"/>
          </w:tcPr>
          <w:p>
            <w:pPr>
              <w:jc w:val="center"/>
            </w:pPr>
            <w:r>
              <w:rPr>
                <w:rFonts w:ascii="宋体" w:hAnsi="宋体" w:cs="宋体"/>
              </w:rPr>
              <w:t>3</w:t>
            </w:r>
          </w:p>
        </w:tc>
        <w:tc>
          <w:tcPr>
            <w:tcW w:w="7421" w:type="dxa"/>
            <w:vAlign w:val="center"/>
          </w:tcPr>
          <w:p>
            <w:pPr>
              <w:pStyle w:val="4"/>
              <w:spacing w:line="430" w:lineRule="exact"/>
              <w:rPr>
                <w:rFonts w:ascii="宋体" w:hAnsi="宋体"/>
                <w:sz w:val="24"/>
              </w:rPr>
            </w:pPr>
            <w:r>
              <w:rPr>
                <w:rFonts w:ascii="宋体" w:hAnsi="宋体"/>
                <w:sz w:val="24"/>
              </w:rPr>
              <w:t>根据各投标人的生产</w:t>
            </w:r>
            <w:r>
              <w:rPr>
                <w:rFonts w:hint="eastAsia" w:ascii="宋体" w:hAnsi="宋体"/>
                <w:sz w:val="24"/>
              </w:rPr>
              <w:t>场地、生产</w:t>
            </w:r>
            <w:r>
              <w:rPr>
                <w:rFonts w:ascii="宋体" w:hAnsi="宋体"/>
                <w:sz w:val="24"/>
              </w:rPr>
              <w:t>设备、生产线及生产能力等情况，由评委进行横向评议</w:t>
            </w:r>
            <w:r>
              <w:rPr>
                <w:rFonts w:hint="eastAsia" w:ascii="宋体" w:hAnsi="宋体"/>
                <w:sz w:val="24"/>
              </w:rPr>
              <w:t>，生产场地、生产</w:t>
            </w:r>
            <w:r>
              <w:rPr>
                <w:rFonts w:hint="eastAsia" w:ascii="宋体" w:hAnsi="宋体" w:cs="宋体"/>
                <w:kern w:val="0"/>
                <w:sz w:val="24"/>
              </w:rPr>
              <w:t>设备、生产能力完备可行</w:t>
            </w:r>
            <w:r>
              <w:rPr>
                <w:rFonts w:ascii="宋体" w:hAnsi="宋体" w:cs="宋体"/>
                <w:kern w:val="0"/>
                <w:sz w:val="24"/>
              </w:rPr>
              <w:t>得3分，</w:t>
            </w:r>
            <w:r>
              <w:rPr>
                <w:rFonts w:hint="eastAsia" w:ascii="宋体" w:hAnsi="宋体"/>
                <w:sz w:val="24"/>
              </w:rPr>
              <w:t>生产场地、生产</w:t>
            </w:r>
            <w:r>
              <w:rPr>
                <w:rFonts w:hint="eastAsia" w:ascii="宋体" w:hAnsi="宋体" w:cs="宋体"/>
                <w:kern w:val="0"/>
                <w:sz w:val="24"/>
              </w:rPr>
              <w:t>设备、生产能力</w:t>
            </w:r>
            <w:r>
              <w:rPr>
                <w:rFonts w:ascii="宋体" w:hAnsi="宋体" w:cs="宋体"/>
                <w:kern w:val="0"/>
                <w:sz w:val="24"/>
              </w:rPr>
              <w:t>有缺陷的得1分，未提供或</w:t>
            </w:r>
            <w:r>
              <w:rPr>
                <w:rFonts w:hint="eastAsia" w:ascii="宋体" w:hAnsi="宋体"/>
                <w:sz w:val="24"/>
              </w:rPr>
              <w:t>生产场地、生产</w:t>
            </w:r>
            <w:r>
              <w:rPr>
                <w:rFonts w:hint="eastAsia" w:ascii="宋体" w:hAnsi="宋体" w:cs="宋体"/>
                <w:kern w:val="0"/>
                <w:sz w:val="24"/>
              </w:rPr>
              <w:t>设备、生产能力</w:t>
            </w:r>
            <w:r>
              <w:rPr>
                <w:rFonts w:ascii="宋体" w:hAnsi="宋体" w:cs="宋体"/>
                <w:kern w:val="0"/>
                <w:sz w:val="24"/>
              </w:rPr>
              <w:t>不可行本项不得分。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3850"/>
              </w:tabs>
              <w:spacing w:line="480" w:lineRule="exact"/>
              <w:jc w:val="center"/>
              <w:rPr>
                <w:rFonts w:ascii="宋体" w:hAnsi="宋体"/>
              </w:rPr>
            </w:pPr>
            <w:r>
              <w:rPr>
                <w:rFonts w:ascii="宋体" w:hAnsi="宋体"/>
              </w:rPr>
              <w:t>A</w:t>
            </w:r>
            <w:r>
              <w:rPr>
                <w:rFonts w:hint="eastAsia" w:ascii="宋体" w:hAnsi="宋体"/>
              </w:rPr>
              <w:t>6：检测报告（本项评分最多3分）</w:t>
            </w: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3</w:t>
            </w:r>
          </w:p>
        </w:tc>
        <w:tc>
          <w:tcPr>
            <w:tcW w:w="7421" w:type="dxa"/>
            <w:vAlign w:val="top"/>
          </w:tcPr>
          <w:p>
            <w:pPr>
              <w:pStyle w:val="4"/>
              <w:spacing w:line="430" w:lineRule="exact"/>
              <w:rPr>
                <w:rFonts w:ascii="宋体" w:hAnsi="宋体"/>
                <w:sz w:val="24"/>
              </w:rPr>
            </w:pPr>
            <w:r>
              <w:rPr>
                <w:rFonts w:hint="eastAsia" w:ascii="宋体" w:hAnsi="宋体"/>
                <w:sz w:val="24"/>
              </w:rPr>
              <w:t>根据投标人提供（项目）有资质检验机构出具检验报告的每项得1分。</w:t>
            </w:r>
            <w:r>
              <w:rPr>
                <w:rFonts w:ascii="宋体" w:hAnsi="宋体" w:cs="宋体"/>
                <w:sz w:val="24"/>
              </w:rPr>
              <w:t>(注：检测报告的送检时间须为2016年1月1日起至本项目投标截止时间止，所附的检验报告中被检或送检单位名称须与投标单位或生产厂家名称一致，且检验结论须至少为符合或达到相关规定的</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3850"/>
              </w:tabs>
              <w:spacing w:line="480" w:lineRule="exact"/>
              <w:jc w:val="center"/>
              <w:rPr>
                <w:rFonts w:ascii="宋体" w:hAnsi="宋体"/>
              </w:rPr>
            </w:pPr>
            <w:r>
              <w:rPr>
                <w:rFonts w:ascii="宋体" w:hAnsi="宋体"/>
              </w:rPr>
              <w:t>A</w:t>
            </w:r>
            <w:r>
              <w:rPr>
                <w:rFonts w:hint="eastAsia" w:ascii="宋体" w:hAnsi="宋体"/>
              </w:rPr>
              <w:t>6：现场演示、样品（本项评分最多2项，6分）</w:t>
            </w: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3</w:t>
            </w:r>
          </w:p>
        </w:tc>
        <w:tc>
          <w:tcPr>
            <w:tcW w:w="7421" w:type="dxa"/>
            <w:vAlign w:val="top"/>
          </w:tcPr>
          <w:p>
            <w:pPr>
              <w:pStyle w:val="4"/>
              <w:spacing w:line="430" w:lineRule="exact"/>
              <w:rPr>
                <w:rFonts w:ascii="宋体" w:hAnsi="宋体"/>
                <w:sz w:val="24"/>
              </w:rPr>
            </w:pPr>
            <w:r>
              <w:rPr>
                <w:rFonts w:hint="eastAsia"/>
              </w:rPr>
              <w:t>根据投标人样品的部分部件拼接及紧固情况，样品整体质量，由评委进行横向比较,提供的部分部件拼接及紧固情况好，样品整体质量好的得3分，提供的部分部件拼接及紧固情况较好，样品整体质量较好的得2分，提供的部分部件拼接及紧固情况一般，样品整体质量一般的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3850"/>
              </w:tabs>
              <w:spacing w:line="480" w:lineRule="exact"/>
              <w:jc w:val="center"/>
              <w:rPr>
                <w:rFonts w:ascii="宋体" w:hAnsi="宋体"/>
              </w:rPr>
            </w:pP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3</w:t>
            </w:r>
          </w:p>
        </w:tc>
        <w:tc>
          <w:tcPr>
            <w:tcW w:w="7421" w:type="dxa"/>
            <w:vAlign w:val="top"/>
          </w:tcPr>
          <w:p>
            <w:pPr>
              <w:pStyle w:val="4"/>
              <w:spacing w:line="430" w:lineRule="exact"/>
            </w:pPr>
            <w:r>
              <w:rPr>
                <w:rFonts w:hint="eastAsia"/>
              </w:rPr>
              <w:t>根据各投标人提供样品的制作水平，表面处理效果、功能设计水平、用料情况等，由评委进行横向比较,样品制作水平高（平整光滑、色泽饱满度高、无挂流、无起泡、无露底剥落）的得3分，样品制作水平较高（较平整光滑、色泽饱满度较高、无挂流、无起泡、无露底剥落）的得2分，样品的质量一般、制作水平一般（较平整光滑、色泽饱满度一般、无挂流、无起泡、无露底剥落）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9939" w:type="dxa"/>
            <w:gridSpan w:val="3"/>
            <w:vAlign w:val="top"/>
          </w:tcPr>
          <w:p>
            <w:pPr>
              <w:spacing w:line="430" w:lineRule="exact"/>
              <w:rPr>
                <w:rFonts w:ascii="宋体" w:hAnsi="宋体"/>
                <w:bCs/>
              </w:rPr>
            </w:pPr>
            <w:r>
              <w:rPr>
                <w:rFonts w:hint="eastAsia" w:ascii="宋体" w:hAnsi="宋体"/>
                <w:bCs/>
              </w:rPr>
              <w:t>技术部分得分为：</w:t>
            </w:r>
            <w:r>
              <w:rPr>
                <w:rFonts w:ascii="宋体" w:hAnsi="宋体"/>
                <w:bCs/>
              </w:rPr>
              <w:t>A</w:t>
            </w:r>
            <w:r>
              <w:rPr>
                <w:rFonts w:hint="eastAsia" w:ascii="宋体" w:hAnsi="宋体"/>
                <w:bCs/>
              </w:rPr>
              <w:t>＝</w:t>
            </w:r>
            <w:r>
              <w:rPr>
                <w:rFonts w:ascii="宋体" w:hAnsi="宋体"/>
              </w:rPr>
              <w:t>A1</w:t>
            </w:r>
            <w:r>
              <w:rPr>
                <w:rFonts w:hint="eastAsia" w:ascii="宋体" w:hAnsi="宋体"/>
              </w:rPr>
              <w:t>＋</w:t>
            </w:r>
            <w:r>
              <w:rPr>
                <w:rFonts w:ascii="宋体" w:hAnsi="宋体"/>
              </w:rPr>
              <w:t>A2</w:t>
            </w:r>
            <w:r>
              <w:rPr>
                <w:rFonts w:hint="eastAsia" w:ascii="宋体" w:hAnsi="宋体"/>
              </w:rPr>
              <w:t>＋</w:t>
            </w:r>
            <w:r>
              <w:rPr>
                <w:rFonts w:ascii="宋体" w:hAnsi="宋体"/>
              </w:rPr>
              <w:t>A3+A4+A</w:t>
            </w:r>
            <w:r>
              <w:rPr>
                <w:rFonts w:hint="eastAsia" w:ascii="宋体" w:hAnsi="宋体"/>
              </w:rPr>
              <w:t>5+A6+ 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9939" w:type="dxa"/>
            <w:gridSpan w:val="3"/>
            <w:vAlign w:val="top"/>
          </w:tcPr>
          <w:p>
            <w:pPr>
              <w:spacing w:line="430" w:lineRule="exact"/>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9939" w:type="dxa"/>
            <w:gridSpan w:val="3"/>
            <w:vAlign w:val="top"/>
          </w:tcPr>
          <w:p>
            <w:pPr>
              <w:spacing w:line="430" w:lineRule="exact"/>
              <w:rPr>
                <w:rFonts w:ascii="宋体" w:hAnsi="宋体"/>
              </w:rPr>
            </w:pPr>
            <w:r>
              <w:rPr>
                <w:rFonts w:ascii="宋体" w:hAnsi="宋体"/>
              </w:rPr>
              <w:t>B</w:t>
            </w:r>
            <w:r>
              <w:rPr>
                <w:rFonts w:hint="eastAsia" w:ascii="宋体" w:hAnsi="宋体"/>
              </w:rPr>
              <w:t>：商务部分评分标准</w:t>
            </w:r>
            <w:r>
              <w:rPr>
                <w:rFonts w:ascii="宋体" w:hAnsi="宋体"/>
              </w:rPr>
              <w:t>(B=</w:t>
            </w:r>
            <w:r>
              <w:rPr>
                <w:rFonts w:hint="eastAsia" w:ascii="宋体" w:hAnsi="宋体"/>
              </w:rPr>
              <w:t>满分15分</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9939" w:type="dxa"/>
            <w:gridSpan w:val="3"/>
            <w:vAlign w:val="top"/>
          </w:tcPr>
          <w:tbl>
            <w:tblPr>
              <w:tblStyle w:val="3"/>
              <w:tblW w:w="9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8" w:type="dxa"/>
                  <w:vAlign w:val="center"/>
                </w:tcPr>
                <w:p>
                  <w:pPr>
                    <w:tabs>
                      <w:tab w:val="left" w:pos="7035"/>
                    </w:tabs>
                    <w:spacing w:line="460" w:lineRule="exact"/>
                    <w:jc w:val="center"/>
                    <w:rPr>
                      <w:rFonts w:ascii="宋体" w:hAnsi="宋体"/>
                      <w:bCs/>
                    </w:rPr>
                  </w:pPr>
                  <w:r>
                    <w:rPr>
                      <w:rFonts w:hint="eastAsia" w:ascii="宋体" w:hAnsi="宋体"/>
                      <w:bCs/>
                    </w:rPr>
                    <w:t>评分项目</w:t>
                  </w:r>
                </w:p>
              </w:tc>
              <w:tc>
                <w:tcPr>
                  <w:tcW w:w="850" w:type="dxa"/>
                  <w:vAlign w:val="center"/>
                </w:tcPr>
                <w:p>
                  <w:pPr>
                    <w:spacing w:line="460" w:lineRule="exact"/>
                    <w:jc w:val="center"/>
                    <w:rPr>
                      <w:rFonts w:ascii="宋体" w:hAnsi="宋体"/>
                      <w:bCs/>
                    </w:rPr>
                  </w:pPr>
                  <w:r>
                    <w:rPr>
                      <w:rFonts w:hint="eastAsia" w:ascii="宋体" w:hAnsi="宋体"/>
                      <w:bCs/>
                    </w:rPr>
                    <w:t>分值</w:t>
                  </w:r>
                </w:p>
              </w:tc>
              <w:tc>
                <w:tcPr>
                  <w:tcW w:w="7421" w:type="dxa"/>
                  <w:vAlign w:val="center"/>
                </w:tcPr>
                <w:p>
                  <w:pPr>
                    <w:snapToGrid w:val="0"/>
                    <w:spacing w:line="460" w:lineRule="exact"/>
                    <w:jc w:val="center"/>
                    <w:rPr>
                      <w:rFonts w:ascii="宋体" w:hAnsi="宋体"/>
                    </w:rPr>
                  </w:pPr>
                  <w:r>
                    <w:rPr>
                      <w:rFonts w:hint="eastAsia" w:ascii="宋体" w:hAnsi="宋体"/>
                      <w:bCs/>
                    </w:rPr>
                    <w:t>评分细则要求</w:t>
                  </w:r>
                </w:p>
              </w:tc>
            </w:tr>
          </w:tbl>
          <w:p>
            <w:pPr>
              <w:spacing w:line="43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Merge w:val="restart"/>
            <w:vAlign w:val="center"/>
          </w:tcPr>
          <w:p>
            <w:pPr>
              <w:tabs>
                <w:tab w:val="left" w:pos="7035"/>
              </w:tabs>
              <w:spacing w:line="480" w:lineRule="exact"/>
              <w:jc w:val="center"/>
              <w:rPr>
                <w:rFonts w:ascii="宋体" w:hAnsi="宋体"/>
              </w:rPr>
            </w:pPr>
            <w:r>
              <w:rPr>
                <w:rFonts w:ascii="宋体" w:hAnsi="宋体"/>
              </w:rPr>
              <w:t>B1</w:t>
            </w:r>
            <w:r>
              <w:rPr>
                <w:rFonts w:hint="eastAsia" w:ascii="宋体" w:hAnsi="宋体"/>
              </w:rPr>
              <w:t>：投标人综合实力</w:t>
            </w:r>
          </w:p>
        </w:tc>
        <w:tc>
          <w:tcPr>
            <w:tcW w:w="850" w:type="dxa"/>
            <w:vAlign w:val="center"/>
          </w:tcPr>
          <w:p>
            <w:pPr>
              <w:tabs>
                <w:tab w:val="left" w:pos="7035"/>
              </w:tabs>
              <w:spacing w:line="480" w:lineRule="exact"/>
              <w:ind w:firstLine="210" w:firstLineChars="100"/>
              <w:rPr>
                <w:rFonts w:ascii="宋体" w:hAnsi="宋体"/>
              </w:rPr>
            </w:pPr>
            <w:r>
              <w:rPr>
                <w:rFonts w:hint="eastAsia" w:ascii="宋体" w:hAnsi="宋体"/>
              </w:rPr>
              <w:t>1</w:t>
            </w:r>
          </w:p>
        </w:tc>
        <w:tc>
          <w:tcPr>
            <w:tcW w:w="7421" w:type="dxa"/>
            <w:vAlign w:val="top"/>
          </w:tcPr>
          <w:p>
            <w:pPr>
              <w:snapToGrid w:val="0"/>
              <w:spacing w:line="430" w:lineRule="exact"/>
              <w:rPr>
                <w:rFonts w:ascii="宋体" w:hAnsi="宋体"/>
              </w:rPr>
            </w:pPr>
            <w:r>
              <w:rPr>
                <w:rFonts w:ascii="宋体" w:hAnsi="宋体" w:cs="宋体"/>
              </w:rPr>
              <w:t>投标人具有ISO9001质量管理体系认证证书的得1分；需提供证书复印件并加盖公章，否则本项不得分。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Merge w:val="continue"/>
            <w:vAlign w:val="center"/>
          </w:tcPr>
          <w:p>
            <w:pPr>
              <w:tabs>
                <w:tab w:val="left" w:pos="7035"/>
              </w:tabs>
              <w:spacing w:line="480" w:lineRule="exact"/>
              <w:jc w:val="center"/>
              <w:rPr>
                <w:rFonts w:ascii="宋体" w:hAnsi="宋体"/>
              </w:rPr>
            </w:pPr>
          </w:p>
        </w:tc>
        <w:tc>
          <w:tcPr>
            <w:tcW w:w="850" w:type="dxa"/>
            <w:vAlign w:val="center"/>
          </w:tcPr>
          <w:p>
            <w:pPr>
              <w:tabs>
                <w:tab w:val="left" w:pos="7035"/>
              </w:tabs>
              <w:spacing w:line="480" w:lineRule="exact"/>
              <w:ind w:firstLine="210" w:firstLineChars="100"/>
              <w:rPr>
                <w:rFonts w:ascii="宋体" w:hAnsi="宋体"/>
              </w:rPr>
            </w:pPr>
            <w:r>
              <w:rPr>
                <w:rFonts w:hint="eastAsia" w:ascii="宋体" w:hAnsi="宋体"/>
              </w:rPr>
              <w:t>1</w:t>
            </w:r>
          </w:p>
        </w:tc>
        <w:tc>
          <w:tcPr>
            <w:tcW w:w="7421" w:type="dxa"/>
            <w:vAlign w:val="top"/>
          </w:tcPr>
          <w:p>
            <w:pPr>
              <w:snapToGrid w:val="0"/>
              <w:spacing w:line="430" w:lineRule="exact"/>
              <w:rPr>
                <w:rFonts w:ascii="宋体" w:hAnsi="宋体"/>
                <w:bCs/>
              </w:rPr>
            </w:pPr>
            <w:r>
              <w:rPr>
                <w:rFonts w:ascii="宋体" w:hAnsi="宋体" w:cs="宋体"/>
              </w:rPr>
              <w:t>投标人获得ISO14001环境管理体系认证证书的得</w:t>
            </w:r>
            <w:r>
              <w:rPr>
                <w:rFonts w:hint="eastAsia" w:ascii="宋体" w:hAnsi="宋体" w:cs="宋体"/>
              </w:rPr>
              <w:t>1</w:t>
            </w:r>
            <w:r>
              <w:rPr>
                <w:rFonts w:ascii="宋体" w:hAnsi="宋体" w:cs="宋体"/>
              </w:rPr>
              <w:t>分</w:t>
            </w:r>
            <w:r>
              <w:rPr>
                <w:rFonts w:hint="eastAsia" w:ascii="宋体" w:hAnsi="宋体" w:cs="宋体"/>
              </w:rPr>
              <w:t>；</w:t>
            </w:r>
            <w:r>
              <w:rPr>
                <w:rFonts w:ascii="宋体" w:hAnsi="宋体" w:cs="宋体"/>
              </w:rPr>
              <w:t>需提供证书复印件并加盖公章，否则本项不得分。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Merge w:val="continue"/>
            <w:vAlign w:val="center"/>
          </w:tcPr>
          <w:p>
            <w:pPr>
              <w:tabs>
                <w:tab w:val="left" w:pos="7035"/>
              </w:tabs>
              <w:spacing w:line="480" w:lineRule="exact"/>
              <w:jc w:val="center"/>
              <w:rPr>
                <w:rFonts w:ascii="宋体" w:hAnsi="宋体"/>
              </w:rPr>
            </w:pPr>
          </w:p>
        </w:tc>
        <w:tc>
          <w:tcPr>
            <w:tcW w:w="850" w:type="dxa"/>
            <w:vAlign w:val="center"/>
          </w:tcPr>
          <w:p>
            <w:pPr>
              <w:tabs>
                <w:tab w:val="left" w:pos="7035"/>
              </w:tabs>
              <w:spacing w:line="480" w:lineRule="exact"/>
              <w:ind w:firstLine="210" w:firstLineChars="100"/>
              <w:rPr>
                <w:rFonts w:ascii="宋体" w:hAnsi="宋体"/>
              </w:rPr>
            </w:pPr>
            <w:r>
              <w:rPr>
                <w:rFonts w:hint="eastAsia" w:ascii="宋体" w:hAnsi="宋体"/>
              </w:rPr>
              <w:t>1</w:t>
            </w:r>
          </w:p>
        </w:tc>
        <w:tc>
          <w:tcPr>
            <w:tcW w:w="7421" w:type="dxa"/>
            <w:vAlign w:val="top"/>
          </w:tcPr>
          <w:p>
            <w:pPr>
              <w:snapToGrid w:val="0"/>
              <w:spacing w:line="430" w:lineRule="exact"/>
              <w:rPr>
                <w:rFonts w:ascii="宋体" w:hAnsi="宋体" w:cs="宋体"/>
              </w:rPr>
            </w:pPr>
            <w:r>
              <w:rPr>
                <w:rFonts w:ascii="宋体" w:hAnsi="宋体" w:cs="宋体"/>
              </w:rPr>
              <w:t>投标人获得OHSAS18001职业健康安全管理体系认证的得</w:t>
            </w:r>
            <w:r>
              <w:rPr>
                <w:rFonts w:hint="eastAsia" w:ascii="宋体" w:hAnsi="宋体" w:cs="宋体"/>
              </w:rPr>
              <w:t>1</w:t>
            </w:r>
            <w:r>
              <w:rPr>
                <w:rFonts w:ascii="宋体" w:hAnsi="宋体" w:cs="宋体"/>
              </w:rPr>
              <w:t>分</w:t>
            </w:r>
            <w:r>
              <w:rPr>
                <w:rFonts w:hint="eastAsia" w:ascii="宋体" w:hAnsi="宋体" w:cs="宋体"/>
              </w:rPr>
              <w:t>；；</w:t>
            </w:r>
            <w:r>
              <w:rPr>
                <w:rFonts w:ascii="宋体" w:hAnsi="宋体" w:cs="宋体"/>
              </w:rPr>
              <w:t>需提供证书复印件并加盖公章，否则本项不得分。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tabs>
                <w:tab w:val="left" w:pos="7035"/>
              </w:tabs>
              <w:spacing w:line="480" w:lineRule="exact"/>
              <w:jc w:val="center"/>
              <w:rPr>
                <w:rFonts w:ascii="宋体" w:hAnsi="宋体"/>
              </w:rPr>
            </w:pPr>
            <w:r>
              <w:rPr>
                <w:rFonts w:ascii="宋体" w:hAnsi="宋体"/>
              </w:rPr>
              <w:t>B2</w:t>
            </w:r>
            <w:r>
              <w:rPr>
                <w:rFonts w:hint="eastAsia" w:ascii="宋体" w:hAnsi="宋体"/>
              </w:rPr>
              <w:t>：质保期承诺</w:t>
            </w:r>
          </w:p>
        </w:tc>
        <w:tc>
          <w:tcPr>
            <w:tcW w:w="850" w:type="dxa"/>
            <w:vAlign w:val="center"/>
          </w:tcPr>
          <w:p>
            <w:pPr>
              <w:tabs>
                <w:tab w:val="left" w:pos="7035"/>
              </w:tabs>
              <w:spacing w:line="480" w:lineRule="exact"/>
              <w:ind w:firstLine="210" w:firstLineChars="100"/>
              <w:rPr>
                <w:rFonts w:ascii="宋体" w:hAnsi="宋体"/>
              </w:rPr>
            </w:pPr>
            <w:r>
              <w:rPr>
                <w:rFonts w:hint="eastAsia" w:ascii="宋体" w:hAnsi="宋体"/>
              </w:rPr>
              <w:t>3</w:t>
            </w:r>
          </w:p>
        </w:tc>
        <w:tc>
          <w:tcPr>
            <w:tcW w:w="7421" w:type="dxa"/>
            <w:vAlign w:val="center"/>
          </w:tcPr>
          <w:p>
            <w:pPr>
              <w:snapToGrid w:val="0"/>
              <w:spacing w:line="430" w:lineRule="exact"/>
              <w:rPr>
                <w:rFonts w:ascii="宋体" w:hAnsi="宋体" w:cs="宋体"/>
              </w:rPr>
            </w:pPr>
            <w:r>
              <w:rPr>
                <w:rFonts w:hint="eastAsia" w:ascii="宋体" w:hAnsi="宋体"/>
              </w:rPr>
              <w:t>根据各投标人的质保期情况进行评分，</w:t>
            </w:r>
            <w:r>
              <w:rPr>
                <w:rFonts w:hint="eastAsia" w:ascii="宋体" w:hAnsi="宋体"/>
                <w:spacing w:val="-4"/>
              </w:rPr>
              <w:t>质保期满足招标文件的前提下，每增加1年加1分，最高得3分（质保期时间承诺少于招标文件要求的，其投标将被拒绝）</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Merge w:val="restart"/>
            <w:vAlign w:val="center"/>
          </w:tcPr>
          <w:p>
            <w:pPr>
              <w:spacing w:line="480" w:lineRule="exact"/>
              <w:jc w:val="center"/>
              <w:rPr>
                <w:rFonts w:ascii="宋体" w:hAnsi="宋体"/>
              </w:rPr>
            </w:pPr>
            <w:r>
              <w:rPr>
                <w:rFonts w:ascii="宋体" w:hAnsi="宋体"/>
              </w:rPr>
              <w:t>B3</w:t>
            </w:r>
            <w:r>
              <w:rPr>
                <w:rFonts w:hint="eastAsia" w:ascii="宋体" w:hAnsi="宋体"/>
              </w:rPr>
              <w:t>：售后服务承诺和维护响应计划</w:t>
            </w:r>
          </w:p>
          <w:p>
            <w:pPr>
              <w:spacing w:line="480" w:lineRule="exact"/>
              <w:jc w:val="center"/>
              <w:rPr>
                <w:rFonts w:ascii="宋体" w:hAnsi="宋体"/>
              </w:rPr>
            </w:pP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3</w:t>
            </w:r>
          </w:p>
        </w:tc>
        <w:tc>
          <w:tcPr>
            <w:tcW w:w="7421" w:type="dxa"/>
            <w:vAlign w:val="center"/>
          </w:tcPr>
          <w:p>
            <w:pPr>
              <w:snapToGrid w:val="0"/>
              <w:spacing w:line="430" w:lineRule="exact"/>
              <w:rPr>
                <w:rFonts w:ascii="宋体" w:hAnsi="宋体" w:cs="宋体"/>
              </w:rPr>
            </w:pPr>
            <w:r>
              <w:rPr>
                <w:rFonts w:ascii="宋体" w:hAnsi="宋体" w:cs="宋体"/>
              </w:rPr>
              <w:t>投标人提供的售后服务体系、服务人员配备</w:t>
            </w:r>
            <w:r>
              <w:rPr>
                <w:rFonts w:hint="eastAsia" w:ascii="宋体" w:hAnsi="宋体" w:cs="宋体"/>
              </w:rPr>
              <w:t>、</w:t>
            </w:r>
            <w:r>
              <w:rPr>
                <w:rFonts w:ascii="微软雅黑" w:hAnsi="微软雅黑" w:cs="宋体"/>
              </w:rPr>
              <w:t>故障响应时间、响应方式时间等方面，</w:t>
            </w:r>
            <w:r>
              <w:rPr>
                <w:rFonts w:ascii="宋体" w:hAnsi="宋体" w:cs="宋体"/>
              </w:rPr>
              <w:t>等售后服务条件情况进行综合评价，售后服务体系完善、服务人员配备</w:t>
            </w:r>
            <w:r>
              <w:rPr>
                <w:rFonts w:hint="eastAsia" w:ascii="宋体" w:hAnsi="宋体" w:cs="宋体"/>
              </w:rPr>
              <w:t>齐全</w:t>
            </w:r>
            <w:r>
              <w:rPr>
                <w:rFonts w:ascii="宋体" w:hAnsi="宋体" w:cs="宋体"/>
              </w:rPr>
              <w:t>的得3分，售后服务体系不够完善、服务人员配备较少的得1分，其他情况或未提供相关材料的本项不得分。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Merge w:val="continue"/>
            <w:vAlign w:val="center"/>
          </w:tcPr>
          <w:p>
            <w:pPr>
              <w:spacing w:line="480" w:lineRule="exact"/>
              <w:jc w:val="center"/>
              <w:rPr>
                <w:rFonts w:ascii="宋体" w:hAnsi="宋体"/>
              </w:rPr>
            </w:pP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2</w:t>
            </w:r>
          </w:p>
        </w:tc>
        <w:tc>
          <w:tcPr>
            <w:tcW w:w="7421" w:type="dxa"/>
            <w:vAlign w:val="center"/>
          </w:tcPr>
          <w:p>
            <w:pPr>
              <w:snapToGrid w:val="0"/>
              <w:spacing w:line="430" w:lineRule="exact"/>
              <w:rPr>
                <w:rFonts w:ascii="宋体" w:hAnsi="宋体"/>
              </w:rPr>
            </w:pPr>
            <w:r>
              <w:rPr>
                <w:rFonts w:ascii="宋体" w:hAnsi="宋体" w:cs="宋体"/>
              </w:rPr>
              <w:t>投标人注册地在福州市（含六区六县）或在福州市设有办事处或设有专业售后服务点；或在投标文件中承诺如若中标，在中标通知书发出后最终验收之前在福州市（含六区六县）设立分公司或在福州市设立办事处或设立专业售后服务点的得2分，提供营业执照复印件、联系地址、联系人、联系方式或专项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668" w:type="dxa"/>
            <w:vAlign w:val="center"/>
          </w:tcPr>
          <w:p>
            <w:pPr>
              <w:spacing w:line="480" w:lineRule="exact"/>
              <w:jc w:val="center"/>
              <w:rPr>
                <w:rFonts w:ascii="宋体" w:hAnsi="宋体"/>
              </w:rPr>
            </w:pPr>
            <w:r>
              <w:rPr>
                <w:rFonts w:ascii="宋体" w:hAnsi="宋体"/>
              </w:rPr>
              <w:t>B</w:t>
            </w:r>
            <w:r>
              <w:rPr>
                <w:rFonts w:hint="eastAsia" w:ascii="宋体" w:hAnsi="宋体"/>
              </w:rPr>
              <w:t>4：</w:t>
            </w:r>
            <w:r>
              <w:rPr>
                <w:rFonts w:ascii="宋体" w:hAnsi="宋体" w:cs="宋体"/>
              </w:rPr>
              <w:t>培训能力</w:t>
            </w:r>
          </w:p>
        </w:tc>
        <w:tc>
          <w:tcPr>
            <w:tcW w:w="850" w:type="dxa"/>
            <w:vAlign w:val="center"/>
          </w:tcPr>
          <w:p>
            <w:pPr>
              <w:tabs>
                <w:tab w:val="left" w:pos="7035"/>
              </w:tabs>
              <w:spacing w:line="480" w:lineRule="exact"/>
              <w:ind w:firstLine="210" w:firstLineChars="100"/>
              <w:rPr>
                <w:rFonts w:ascii="宋体" w:hAnsi="宋体" w:cs="宋体"/>
              </w:rPr>
            </w:pPr>
            <w:r>
              <w:rPr>
                <w:rFonts w:hint="eastAsia" w:ascii="宋体" w:hAnsi="宋体" w:cs="宋体"/>
              </w:rPr>
              <w:t>2</w:t>
            </w:r>
          </w:p>
        </w:tc>
        <w:tc>
          <w:tcPr>
            <w:tcW w:w="7421" w:type="dxa"/>
            <w:vAlign w:val="center"/>
          </w:tcPr>
          <w:p>
            <w:pPr>
              <w:snapToGrid w:val="0"/>
              <w:spacing w:line="430" w:lineRule="exact"/>
              <w:rPr>
                <w:rFonts w:ascii="宋体" w:hAnsi="宋体"/>
              </w:rPr>
            </w:pPr>
            <w:r>
              <w:rPr>
                <w:rFonts w:ascii="宋体" w:hAnsi="宋体" w:cs="宋体"/>
              </w:rPr>
              <w:t>根据各投标人的产品培训计划承诺情况进行综合评价，培训计划合理</w:t>
            </w:r>
            <w:r>
              <w:rPr>
                <w:rFonts w:hint="eastAsia" w:ascii="宋体" w:hAnsi="宋体" w:cs="宋体"/>
              </w:rPr>
              <w:t>、完善</w:t>
            </w:r>
            <w:r>
              <w:rPr>
                <w:rFonts w:ascii="宋体" w:hAnsi="宋体" w:cs="宋体"/>
              </w:rPr>
              <w:t>的得3分，培训计划有缺陷或培训次数安排较少的得1分，其他情况或未提供相关材料的本项不得分。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668" w:type="dxa"/>
            <w:vAlign w:val="center"/>
          </w:tcPr>
          <w:p>
            <w:pPr>
              <w:spacing w:line="480" w:lineRule="exact"/>
              <w:rPr>
                <w:rFonts w:ascii="宋体" w:hAnsi="宋体"/>
              </w:rPr>
            </w:pPr>
            <w:r>
              <w:rPr>
                <w:rFonts w:ascii="宋体" w:hAnsi="宋体"/>
              </w:rPr>
              <w:t>B</w:t>
            </w:r>
            <w:r>
              <w:rPr>
                <w:rFonts w:hint="eastAsia" w:ascii="宋体" w:hAnsi="宋体"/>
              </w:rPr>
              <w:t>5：业绩</w:t>
            </w:r>
          </w:p>
        </w:tc>
        <w:tc>
          <w:tcPr>
            <w:tcW w:w="850" w:type="dxa"/>
            <w:vAlign w:val="center"/>
          </w:tcPr>
          <w:p>
            <w:pPr>
              <w:adjustRightInd w:val="0"/>
              <w:spacing w:line="480" w:lineRule="exact"/>
              <w:ind w:firstLine="210" w:firstLineChars="100"/>
              <w:rPr>
                <w:rFonts w:ascii="宋体" w:hAnsi="宋体"/>
              </w:rPr>
            </w:pPr>
            <w:r>
              <w:rPr>
                <w:rFonts w:hint="eastAsia" w:ascii="宋体" w:hAnsi="宋体"/>
              </w:rPr>
              <w:t>3</w:t>
            </w:r>
          </w:p>
        </w:tc>
        <w:tc>
          <w:tcPr>
            <w:tcW w:w="7421" w:type="dxa"/>
            <w:vAlign w:val="top"/>
          </w:tcPr>
          <w:p>
            <w:pPr>
              <w:snapToGrid w:val="0"/>
              <w:spacing w:line="430" w:lineRule="exact"/>
              <w:rPr>
                <w:rFonts w:ascii="宋体" w:hAnsi="宋体"/>
              </w:rPr>
            </w:pPr>
            <w:r>
              <w:rPr>
                <w:rFonts w:hint="eastAsia"/>
              </w:rPr>
              <w:t>根据投标人自2016年1月1日至本项目截标时间止（日期以验收报告时间为准）由投标人独立完成的同类型项目成功案例的，每提供一份成功案例得1分，最高3分。（投标人须列表并提供该项目的中标公告（提供相关网站中标公告的下载网页并注明网址）、中标通知书复印件、采购合同文本复印件，以及能够证明该业绩项目已经采购人验收合格的相关证明文件复印件，所有材料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jc w:val="center"/>
        </w:trPr>
        <w:tc>
          <w:tcPr>
            <w:tcW w:w="9939" w:type="dxa"/>
            <w:gridSpan w:val="3"/>
            <w:vAlign w:val="top"/>
          </w:tcPr>
          <w:p>
            <w:pPr>
              <w:spacing w:line="480" w:lineRule="exact"/>
              <w:rPr>
                <w:rFonts w:ascii="宋体" w:hAnsi="宋体"/>
              </w:rPr>
            </w:pPr>
            <w:r>
              <w:rPr>
                <w:rFonts w:hint="eastAsia" w:ascii="宋体" w:hAnsi="宋体"/>
              </w:rPr>
              <w:t>商务部分得分为：</w:t>
            </w:r>
            <w:r>
              <w:rPr>
                <w:rFonts w:ascii="宋体" w:hAnsi="宋体"/>
              </w:rPr>
              <w:t>B</w:t>
            </w:r>
            <w:r>
              <w:rPr>
                <w:rFonts w:hint="eastAsia" w:ascii="宋体" w:hAnsi="宋体"/>
              </w:rPr>
              <w:t>＝</w:t>
            </w:r>
            <w:r>
              <w:rPr>
                <w:rFonts w:ascii="宋体" w:hAnsi="宋体"/>
              </w:rPr>
              <w:t>B1</w:t>
            </w:r>
            <w:r>
              <w:rPr>
                <w:rFonts w:hint="eastAsia" w:ascii="宋体" w:hAnsi="宋体"/>
              </w:rPr>
              <w:t>＋</w:t>
            </w:r>
            <w:r>
              <w:rPr>
                <w:rFonts w:ascii="宋体" w:hAnsi="宋体"/>
              </w:rPr>
              <w:t>B2</w:t>
            </w:r>
            <w:r>
              <w:rPr>
                <w:rFonts w:hint="eastAsia" w:ascii="宋体" w:hAnsi="宋体"/>
              </w:rPr>
              <w:t>＋</w:t>
            </w:r>
            <w:r>
              <w:rPr>
                <w:rFonts w:ascii="宋体" w:hAnsi="宋体"/>
              </w:rPr>
              <w:t>B3+</w:t>
            </w:r>
            <w:r>
              <w:rPr>
                <w:rFonts w:hint="eastAsia" w:ascii="宋体" w:hAnsi="宋体"/>
              </w:rPr>
              <w:t>B4+</w:t>
            </w:r>
            <w:r>
              <w:rPr>
                <w:rFonts w:ascii="宋体" w:hAnsi="宋体"/>
              </w:rPr>
              <w:t xml:space="preserve"> B</w:t>
            </w:r>
            <w:r>
              <w:rPr>
                <w:rFonts w:hint="eastAsia" w:ascii="宋体"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9" w:type="dxa"/>
            <w:gridSpan w:val="3"/>
            <w:vAlign w:val="top"/>
          </w:tcPr>
          <w:p>
            <w:pPr>
              <w:spacing w:line="460" w:lineRule="exact"/>
              <w:rPr>
                <w:rFonts w:ascii="宋体" w:hAnsi="宋体"/>
              </w:rPr>
            </w:pPr>
          </w:p>
        </w:tc>
      </w:tr>
    </w:tbl>
    <w:p>
      <w:pPr>
        <w:spacing w:line="400" w:lineRule="exact"/>
        <w:rPr>
          <w:sz w:val="28"/>
          <w:szCs w:val="28"/>
        </w:rPr>
      </w:pPr>
    </w:p>
    <w:p>
      <w:pPr>
        <w:spacing w:line="400" w:lineRule="exact"/>
        <w:rPr>
          <w:sz w:val="28"/>
          <w:szCs w:val="28"/>
        </w:rPr>
      </w:pPr>
    </w:p>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Pr>
        <w:tabs>
          <w:tab w:val="left" w:pos="900"/>
          <w:tab w:val="left" w:pos="1100"/>
        </w:tabs>
        <w:spacing w:line="440" w:lineRule="exact"/>
        <w:ind w:firstLine="560" w:firstLineChars="200"/>
        <w:rPr>
          <w:rFonts w:ascii="仿宋_GB2312" w:hAnsi="仿宋" w:eastAsia="仿宋_GB2312"/>
          <w:sz w:val="28"/>
          <w:szCs w:val="28"/>
        </w:rPr>
      </w:pPr>
    </w:p>
    <w:p/>
    <w:p/>
    <w:p/>
    <w:p/>
    <w:p/>
    <w:p>
      <w:pPr>
        <w:rPr>
          <w:rFonts w:hint="eastAsia"/>
        </w:rPr>
      </w:pPr>
    </w:p>
    <w:p>
      <w:pPr>
        <w:rPr>
          <w:rFonts w:hint="eastAsia"/>
        </w:rPr>
      </w:pPr>
    </w:p>
    <w:p>
      <w:pPr>
        <w:rPr>
          <w:rFonts w:hint="eastAsia"/>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23EC7"/>
    <w:rsid w:val="3EC23E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_9_14"/>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2020-06-02T01:14:00Z</dcterms:created>
  <dc:creator>lenovo</dc:creator>
  <cp:lastModifiedBy>lenovo</cp:lastModifiedBy>
  <dcterms:modified xsi:type="dcterms:W3CDTF">2020-06-02T01:15:30Z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