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0" w:firstLineChars="0"/>
        <w:jc w:val="center"/>
        <w:rPr>
          <w:rFonts w:hint="eastAsia" w:ascii="微软雅黑" w:hAnsi="微软雅黑" w:eastAsia="微软雅黑" w:cs="微软雅黑"/>
          <w:b/>
          <w:bCs/>
          <w:spacing w:val="2"/>
          <w:sz w:val="52"/>
          <w:szCs w:val="52"/>
          <w:lang w:eastAsia="zh-CN"/>
        </w:rPr>
      </w:pPr>
    </w:p>
    <w:p>
      <w:pPr>
        <w:ind w:firstLine="0" w:firstLineChars="0"/>
        <w:jc w:val="center"/>
        <w:rPr>
          <w:rFonts w:hint="default" w:ascii="微软雅黑" w:hAnsi="微软雅黑" w:eastAsia="微软雅黑" w:cs="微软雅黑"/>
          <w:b/>
          <w:bCs/>
          <w:snapToGrid w:val="0"/>
          <w:color w:val="666699"/>
          <w:spacing w:val="40"/>
          <w:w w:val="80"/>
          <w:kern w:val="10"/>
          <w:sz w:val="52"/>
          <w:szCs w:val="52"/>
          <w:lang w:val="en-US"/>
        </w:rPr>
      </w:pPr>
      <w:r>
        <w:rPr>
          <w:rFonts w:hint="eastAsia" w:ascii="微软雅黑" w:hAnsi="微软雅黑" w:cs="微软雅黑"/>
          <w:b/>
          <w:bCs/>
          <w:spacing w:val="2"/>
          <w:sz w:val="52"/>
          <w:szCs w:val="52"/>
          <w:lang w:val="en-US" w:eastAsia="zh-CN"/>
        </w:rPr>
        <w:t>福州职业技术学院智慧学工</w:t>
      </w:r>
    </w:p>
    <w:p>
      <w:pPr>
        <w:ind w:firstLine="0" w:firstLineChars="0"/>
        <w:jc w:val="center"/>
        <w:rPr>
          <w:rFonts w:hint="eastAsia" w:ascii="微软雅黑" w:hAnsi="微软雅黑" w:eastAsia="微软雅黑" w:cs="微软雅黑"/>
          <w:b/>
          <w:bCs/>
          <w:spacing w:val="2"/>
          <w:sz w:val="52"/>
          <w:szCs w:val="52"/>
          <w:lang w:eastAsia="zh-CN"/>
        </w:rPr>
      </w:pPr>
      <w:r>
        <w:rPr>
          <w:rFonts w:hint="eastAsia" w:ascii="微软雅黑" w:hAnsi="微软雅黑" w:eastAsia="微软雅黑" w:cs="微软雅黑"/>
          <w:b/>
          <w:bCs/>
          <w:spacing w:val="2"/>
          <w:sz w:val="52"/>
          <w:szCs w:val="52"/>
          <w:lang w:eastAsia="zh-CN"/>
        </w:rPr>
        <w:t>使用</w:t>
      </w:r>
      <w:r>
        <w:rPr>
          <w:rFonts w:hint="eastAsia" w:ascii="微软雅黑" w:hAnsi="微软雅黑" w:eastAsia="微软雅黑" w:cs="微软雅黑"/>
          <w:b/>
          <w:bCs/>
          <w:spacing w:val="2"/>
          <w:sz w:val="52"/>
          <w:szCs w:val="52"/>
        </w:rPr>
        <w:t>手册</w:t>
      </w:r>
      <w:r>
        <w:rPr>
          <w:rFonts w:hint="eastAsia" w:ascii="微软雅黑" w:hAnsi="微软雅黑" w:cs="微软雅黑"/>
          <w:b/>
          <w:bCs/>
          <w:spacing w:val="2"/>
          <w:sz w:val="52"/>
          <w:szCs w:val="52"/>
          <w:lang w:eastAsia="zh-CN"/>
        </w:rPr>
        <w:t>（</w:t>
      </w:r>
      <w:r>
        <w:rPr>
          <w:rFonts w:hint="eastAsia" w:ascii="微软雅黑" w:hAnsi="微软雅黑" w:cs="微软雅黑"/>
          <w:b/>
          <w:bCs/>
          <w:spacing w:val="2"/>
          <w:sz w:val="52"/>
          <w:szCs w:val="52"/>
          <w:lang w:val="en-US" w:eastAsia="zh-CN"/>
        </w:rPr>
        <w:t>综合测评</w:t>
      </w:r>
      <w:r>
        <w:rPr>
          <w:rFonts w:hint="eastAsia" w:ascii="微软雅黑" w:hAnsi="微软雅黑" w:cs="微软雅黑"/>
          <w:b/>
          <w:bCs/>
          <w:spacing w:val="2"/>
          <w:sz w:val="52"/>
          <w:szCs w:val="52"/>
          <w:lang w:eastAsia="zh-CN"/>
        </w:rPr>
        <w:t>）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960" w:lineRule="auto"/>
        <w:ind w:right="-36" w:rightChars="-15" w:firstLine="900" w:firstLineChars="300"/>
        <w:jc w:val="left"/>
        <w:textAlignment w:val="auto"/>
        <w:outlineLvl w:val="9"/>
        <w:rPr>
          <w:rFonts w:hint="eastAsia" w:cs="宋体"/>
          <w:b/>
          <w:color w:val="000000"/>
          <w:sz w:val="30"/>
          <w:szCs w:val="30"/>
          <w:lang w:val="en-US" w:eastAsia="zh-CN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960" w:lineRule="auto"/>
        <w:ind w:right="-36" w:rightChars="-15" w:firstLine="900" w:firstLineChars="300"/>
        <w:jc w:val="left"/>
        <w:textAlignment w:val="auto"/>
        <w:outlineLvl w:val="9"/>
        <w:rPr>
          <w:rFonts w:hint="eastAsia" w:cs="宋体"/>
          <w:color w:val="000000"/>
          <w:sz w:val="30"/>
          <w:szCs w:val="30"/>
          <w:u w:val="single"/>
          <w:lang w:val="en-US" w:eastAsia="zh-CN"/>
        </w:rPr>
      </w:pPr>
      <w:r>
        <w:rPr>
          <w:rFonts w:hint="eastAsia" w:cs="宋体"/>
          <w:b/>
          <w:color w:val="000000"/>
          <w:sz w:val="30"/>
          <w:szCs w:val="30"/>
          <w:lang w:val="en-US" w:eastAsia="zh-CN"/>
        </w:rPr>
        <w:t>系统</w:t>
      </w:r>
      <w:r>
        <w:rPr>
          <w:rFonts w:cs="宋体"/>
          <w:b/>
          <w:color w:val="000000"/>
          <w:sz w:val="30"/>
          <w:szCs w:val="30"/>
        </w:rPr>
        <w:t>名称：</w:t>
      </w:r>
      <w:r>
        <w:rPr>
          <w:rFonts w:cs="宋体"/>
          <w:color w:val="000000"/>
          <w:sz w:val="30"/>
          <w:szCs w:val="30"/>
          <w:u w:val="single"/>
        </w:rPr>
        <w:t xml:space="preserve"> </w:t>
      </w:r>
      <w:r>
        <w:rPr>
          <w:rFonts w:hint="eastAsia" w:cs="宋体"/>
          <w:color w:val="000000"/>
          <w:sz w:val="30"/>
          <w:szCs w:val="30"/>
          <w:u w:val="single"/>
          <w:lang w:val="en-US" w:eastAsia="zh-CN"/>
        </w:rPr>
        <w:t xml:space="preserve">  福州职业技术学院智慧学工      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960" w:lineRule="auto"/>
        <w:ind w:right="-36" w:rightChars="-15" w:firstLine="900" w:firstLineChars="300"/>
        <w:jc w:val="left"/>
        <w:textAlignment w:val="auto"/>
        <w:outlineLvl w:val="9"/>
        <w:rPr>
          <w:rFonts w:hint="eastAsia" w:cs="宋体"/>
          <w:color w:val="000000"/>
          <w:sz w:val="30"/>
          <w:szCs w:val="30"/>
          <w:u w:val="single"/>
          <w:lang w:val="en-US" w:eastAsia="zh-CN"/>
        </w:rPr>
      </w:pPr>
      <w:r>
        <w:rPr>
          <w:rFonts w:hint="eastAsia" w:cs="宋体"/>
          <w:b/>
          <w:color w:val="000000"/>
          <w:sz w:val="30"/>
          <w:szCs w:val="30"/>
          <w:lang w:val="en-US" w:eastAsia="zh-CN"/>
        </w:rPr>
        <w:t>使用单位</w:t>
      </w:r>
      <w:r>
        <w:rPr>
          <w:rFonts w:cs="宋体"/>
          <w:b/>
          <w:color w:val="000000"/>
          <w:sz w:val="30"/>
          <w:szCs w:val="30"/>
        </w:rPr>
        <w:t>：</w:t>
      </w:r>
      <w:r>
        <w:rPr>
          <w:rFonts w:cs="宋体"/>
          <w:color w:val="000000"/>
          <w:sz w:val="30"/>
          <w:szCs w:val="30"/>
          <w:u w:val="single"/>
        </w:rPr>
        <w:t xml:space="preserve"> </w:t>
      </w:r>
      <w:r>
        <w:rPr>
          <w:rFonts w:hint="eastAsia" w:cs="宋体"/>
          <w:color w:val="000000"/>
          <w:sz w:val="30"/>
          <w:szCs w:val="30"/>
          <w:u w:val="single"/>
          <w:lang w:val="en-US" w:eastAsia="zh-CN"/>
        </w:rPr>
        <w:t xml:space="preserve">      福州职业技术学院       </w:t>
      </w:r>
      <w:r>
        <w:rPr>
          <w:rFonts w:cs="宋体"/>
          <w:color w:val="000000"/>
          <w:sz w:val="30"/>
          <w:szCs w:val="30"/>
          <w:u w:val="single"/>
        </w:rPr>
        <w:t xml:space="preserve">  </w:t>
      </w:r>
      <w:r>
        <w:rPr>
          <w:rFonts w:hint="eastAsia" w:cs="宋体"/>
          <w:color w:val="000000"/>
          <w:sz w:val="30"/>
          <w:szCs w:val="30"/>
          <w:u w:val="single"/>
          <w:lang w:val="en-US" w:eastAsia="zh-CN"/>
        </w:rPr>
        <w:t xml:space="preserve"> 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960" w:lineRule="auto"/>
        <w:ind w:right="-36" w:rightChars="-15" w:firstLine="900" w:firstLineChars="300"/>
        <w:jc w:val="left"/>
        <w:textAlignment w:val="auto"/>
        <w:outlineLvl w:val="9"/>
        <w:rPr>
          <w:rFonts w:hint="eastAsia" w:ascii="宋体" w:hAnsi="宋体"/>
          <w:sz w:val="52"/>
        </w:rPr>
      </w:pPr>
      <w:r>
        <w:rPr>
          <w:rFonts w:hint="eastAsia" w:cs="宋体"/>
          <w:b/>
          <w:color w:val="000000"/>
          <w:sz w:val="30"/>
          <w:szCs w:val="30"/>
          <w:lang w:val="en-US" w:eastAsia="zh-CN"/>
        </w:rPr>
        <w:t>软件开发</w:t>
      </w:r>
      <w:r>
        <w:rPr>
          <w:rFonts w:cs="宋体"/>
          <w:b/>
          <w:color w:val="000000"/>
          <w:sz w:val="30"/>
          <w:szCs w:val="30"/>
        </w:rPr>
        <w:t>：</w:t>
      </w:r>
      <w:r>
        <w:rPr>
          <w:rFonts w:cs="宋体"/>
          <w:color w:val="000000"/>
          <w:sz w:val="30"/>
          <w:szCs w:val="30"/>
          <w:u w:val="single"/>
        </w:rPr>
        <w:t xml:space="preserve">   </w:t>
      </w:r>
      <w:r>
        <w:rPr>
          <w:rFonts w:hint="eastAsia" w:cs="宋体"/>
          <w:color w:val="000000"/>
          <w:sz w:val="30"/>
          <w:szCs w:val="30"/>
          <w:u w:val="single"/>
          <w:lang w:val="en-US" w:eastAsia="zh-CN"/>
        </w:rPr>
        <w:t xml:space="preserve"> 四川众望升腾科技有限公司     </w:t>
      </w:r>
    </w:p>
    <w:p>
      <w:pPr>
        <w:ind w:left="0" w:leftChars="0" w:firstLine="0" w:firstLineChars="0"/>
        <w:jc w:val="both"/>
        <w:rPr>
          <w:rFonts w:hint="eastAsia" w:ascii="宋体" w:hAnsi="宋体"/>
          <w:sz w:val="52"/>
        </w:rPr>
      </w:pPr>
    </w:p>
    <w:p>
      <w:pPr>
        <w:spacing w:line="360" w:lineRule="auto"/>
        <w:jc w:val="both"/>
        <w:rPr>
          <w:rFonts w:hint="eastAsia" w:ascii="宋体" w:hAnsi="宋体"/>
          <w:b/>
          <w:lang w:val="en-US" w:eastAsia="zh-CN"/>
        </w:rPr>
      </w:pPr>
    </w:p>
    <w:p>
      <w:pPr>
        <w:spacing w:line="360" w:lineRule="auto"/>
        <w:jc w:val="center"/>
        <w:rPr>
          <w:rFonts w:hint="eastAsia" w:ascii="宋体" w:hAnsi="宋体" w:eastAsia="宋体"/>
          <w:b/>
          <w:lang w:val="en-US" w:eastAsia="zh-CN"/>
        </w:rPr>
      </w:pPr>
      <w:r>
        <w:rPr>
          <w:rFonts w:hint="eastAsia" w:ascii="宋体" w:hAnsi="宋体"/>
          <w:b/>
          <w:lang w:val="en-US" w:eastAsia="zh-CN"/>
        </w:rPr>
        <w:t>定制开发</w:t>
      </w:r>
    </w:p>
    <w:p>
      <w:pPr>
        <w:spacing w:line="360" w:lineRule="auto"/>
        <w:jc w:val="center"/>
        <w:rPr>
          <w:rFonts w:hint="eastAsia" w:ascii="宋体" w:hAnsi="宋体"/>
        </w:rPr>
      </w:pPr>
      <w:r>
        <w:rPr>
          <w:rFonts w:hint="eastAsia" w:ascii="宋体" w:hAnsi="宋体"/>
        </w:rPr>
        <w:t xml:space="preserve">审订日期 </w:t>
      </w:r>
      <w:r>
        <w:rPr>
          <w:rFonts w:hint="eastAsia" w:ascii="微软雅黑" w:hAnsi="微软雅黑" w:eastAsia="微软雅黑" w:cs="微软雅黑"/>
        </w:rPr>
        <w:t>20</w:t>
      </w:r>
      <w:r>
        <w:rPr>
          <w:rFonts w:hint="eastAsia" w:ascii="微软雅黑" w:hAnsi="微软雅黑" w:cs="微软雅黑"/>
          <w:lang w:val="en-US" w:eastAsia="zh-CN"/>
        </w:rPr>
        <w:t>24</w:t>
      </w:r>
      <w:r>
        <w:rPr>
          <w:rFonts w:hint="eastAsia" w:ascii="宋体" w:hAnsi="宋体"/>
        </w:rPr>
        <w:t>年</w:t>
      </w:r>
      <w:r>
        <w:rPr>
          <w:rFonts w:hint="eastAsia" w:ascii="宋体" w:hAnsi="宋体"/>
          <w:lang w:val="en-US" w:eastAsia="zh-CN"/>
        </w:rPr>
        <w:t>4</w:t>
      </w:r>
      <w:r>
        <w:rPr>
          <w:rFonts w:hint="eastAsia" w:ascii="宋体" w:hAnsi="宋体"/>
        </w:rPr>
        <w:t>月</w:t>
      </w:r>
    </w:p>
    <w:p/>
    <w:p/>
    <w:p/>
    <w:p/>
    <w:p/>
    <w:p/>
    <w:p>
      <w:pPr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textAlignment w:val="auto"/>
        <w:outlineLvl w:val="9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</w:t>
      </w:r>
    </w:p>
    <w:sdt>
      <w:sdtPr>
        <w:rPr>
          <w:rFonts w:ascii="宋体" w:hAnsi="宋体" w:eastAsia="宋体" w:cs="Times New Roman"/>
          <w:b w:val="0"/>
          <w:bCs w:val="0"/>
          <w:kern w:val="2"/>
          <w:sz w:val="32"/>
          <w:szCs w:val="32"/>
          <w:lang w:val="en-US" w:eastAsia="zh-CN" w:bidi="ar-SA"/>
        </w:rPr>
        <w:id w:val="147473980"/>
        <w:docPartObj>
          <w:docPartGallery w:val="Table of Contents"/>
          <w:docPartUnique/>
        </w:docPartObj>
      </w:sdtPr>
      <w:sdtEndPr>
        <w:rPr>
          <w:rFonts w:hint="eastAsia" w:ascii="Calibri" w:hAnsi="Calibri" w:eastAsia="微软雅黑" w:cs="Times New Roman"/>
          <w:b/>
          <w:bCs/>
          <w:kern w:val="44"/>
          <w:sz w:val="32"/>
          <w:szCs w:val="22"/>
          <w:lang w:val="en-US" w:eastAsia="zh-CN" w:bidi="ar-SA"/>
        </w:rPr>
      </w:sdtEndPr>
      <w:sdtContent>
        <w:p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</w:pPr>
          <w:r>
            <w:rPr>
              <w:rFonts w:ascii="宋体" w:hAnsi="宋体" w:eastAsia="宋体"/>
              <w:sz w:val="21"/>
            </w:rPr>
            <w:t>目录</w:t>
          </w:r>
        </w:p>
        <w:p>
          <w:pPr>
            <w:pStyle w:val="19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TOC \o "1-3" \h \u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_Toc9936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eastAsia="zh-CN"/>
            </w:rPr>
            <w:t xml:space="preserve">第一章 </w:t>
          </w:r>
          <w:r>
            <w:rPr>
              <w:rFonts w:hint="eastAsia"/>
              <w:lang w:val="en-US" w:eastAsia="zh-CN"/>
            </w:rPr>
            <w:t>综合素质测评管理</w:t>
          </w:r>
          <w:r>
            <w:tab/>
          </w:r>
          <w:r>
            <w:fldChar w:fldCharType="begin"/>
          </w:r>
          <w:r>
            <w:instrText xml:space="preserve"> PAGEREF _Toc9936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20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_Toc9480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1.1. 创建批次（学生处操作）</w:t>
          </w:r>
          <w:r>
            <w:tab/>
          </w:r>
          <w:r>
            <w:fldChar w:fldCharType="begin"/>
          </w:r>
          <w:r>
            <w:instrText xml:space="preserve"> PAGEREF _Toc9480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20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_Toc23853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1.2. 加减分项目管理（学生处操作）</w:t>
          </w:r>
          <w:r>
            <w:tab/>
          </w:r>
          <w:r>
            <w:fldChar w:fldCharType="begin"/>
          </w:r>
          <w:r>
            <w:instrText xml:space="preserve"> PAGEREF _Toc23853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8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_Toc8198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lang w:val="en-US" w:eastAsia="zh-CN"/>
            </w:rPr>
            <w:t>1.2.1. 无限制</w:t>
          </w:r>
          <w:r>
            <w:tab/>
          </w:r>
          <w:r>
            <w:fldChar w:fldCharType="begin"/>
          </w:r>
          <w:r>
            <w:instrText xml:space="preserve"> PAGEREF _Toc8198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8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_Toc19087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lang w:val="en-US" w:eastAsia="zh-CN"/>
            </w:rPr>
            <w:t>1.2.2. 限制分数/次数</w:t>
          </w:r>
          <w:r>
            <w:tab/>
          </w:r>
          <w:r>
            <w:fldChar w:fldCharType="begin"/>
          </w:r>
          <w:r>
            <w:instrText xml:space="preserve"> PAGEREF _Toc19087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8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_Toc4833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lang w:val="en-US" w:eastAsia="zh-CN"/>
            </w:rPr>
            <w:t>1.2.3. 多分项</w:t>
          </w:r>
          <w:r>
            <w:tab/>
          </w:r>
          <w:r>
            <w:fldChar w:fldCharType="begin"/>
          </w:r>
          <w:r>
            <w:instrText xml:space="preserve"> PAGEREF _Toc4833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20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_Toc16023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1.3. 班级评议</w:t>
          </w:r>
          <w:r>
            <w:tab/>
          </w:r>
          <w:r>
            <w:fldChar w:fldCharType="begin"/>
          </w:r>
          <w:r>
            <w:instrText xml:space="preserve"> PAGEREF _Toc16023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8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_Toc22563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1.3.1. 辅导员、班主任（学院操作）</w:t>
          </w:r>
          <w:r>
            <w:tab/>
          </w:r>
          <w:r>
            <w:fldChar w:fldCharType="begin"/>
          </w:r>
          <w:r>
            <w:instrText xml:space="preserve"> PAGEREF _Toc22563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8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_Toc30050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1.3.2. 评议小组学生成员（辅导员操作）</w:t>
          </w:r>
          <w:r>
            <w:tab/>
          </w:r>
          <w:r>
            <w:fldChar w:fldCharType="begin"/>
          </w:r>
          <w:r>
            <w:instrText xml:space="preserve"> PAGEREF _Toc30050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20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_Toc24621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eastAsia="zh-CN"/>
            </w:rPr>
            <w:t xml:space="preserve">1.4. </w:t>
          </w:r>
          <w:r>
            <w:rPr>
              <w:rFonts w:hint="eastAsia"/>
              <w:lang w:val="en-US" w:eastAsia="zh-CN"/>
            </w:rPr>
            <w:t>基础成绩管理</w:t>
          </w:r>
          <w:r>
            <w:tab/>
          </w:r>
          <w:r>
            <w:fldChar w:fldCharType="begin"/>
          </w:r>
          <w:r>
            <w:instrText xml:space="preserve"> PAGEREF _Toc24621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8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_Toc6050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eastAsia="zh-CN"/>
            </w:rPr>
            <w:t xml:space="preserve">1.4.1. </w:t>
          </w:r>
          <w:r>
            <w:rPr>
              <w:rFonts w:hint="eastAsia"/>
              <w:lang w:val="en-US" w:eastAsia="zh-CN"/>
            </w:rPr>
            <w:t>学业成绩管理（同步数据中心）</w:t>
          </w:r>
          <w:r>
            <w:tab/>
          </w:r>
          <w:r>
            <w:fldChar w:fldCharType="begin"/>
          </w:r>
          <w:r>
            <w:instrText xml:space="preserve"> PAGEREF _Toc6050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8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_Toc2934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eastAsia="zh-CN"/>
            </w:rPr>
            <w:t xml:space="preserve">1.4.2. </w:t>
          </w:r>
          <w:r>
            <w:rPr>
              <w:rFonts w:hint="eastAsia"/>
              <w:lang w:val="en-US" w:eastAsia="zh-CN"/>
            </w:rPr>
            <w:t>学习成绩排名（院系操作）</w:t>
          </w:r>
          <w:r>
            <w:tab/>
          </w:r>
          <w:r>
            <w:fldChar w:fldCharType="begin"/>
          </w:r>
          <w:r>
            <w:instrText xml:space="preserve"> PAGEREF _Toc2934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8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_Toc7251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eastAsia="zh-CN"/>
            </w:rPr>
            <w:t xml:space="preserve">1.4.3. </w:t>
          </w:r>
          <w:r>
            <w:rPr>
              <w:rFonts w:hint="eastAsia"/>
              <w:lang w:val="en-US" w:eastAsia="zh-CN"/>
            </w:rPr>
            <w:t>体测成绩管理（学生处操作）</w:t>
          </w:r>
          <w:r>
            <w:tab/>
          </w:r>
          <w:r>
            <w:fldChar w:fldCharType="begin"/>
          </w:r>
          <w:r>
            <w:instrText xml:space="preserve"> PAGEREF _Toc7251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20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_Toc13278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1.5. 评议打分（辅导员、班主任、评议小组成员）</w:t>
          </w:r>
          <w:r>
            <w:tab/>
          </w:r>
          <w:r>
            <w:fldChar w:fldCharType="begin"/>
          </w:r>
          <w:r>
            <w:instrText xml:space="preserve"> PAGEREF _Toc13278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8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_Toc8520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1.5.1. 辅导员</w:t>
          </w:r>
          <w:r>
            <w:tab/>
          </w:r>
          <w:r>
            <w:fldChar w:fldCharType="begin"/>
          </w:r>
          <w:r>
            <w:instrText xml:space="preserve"> PAGEREF _Toc8520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8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_Toc17818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1.5.2. 班主任</w:t>
          </w:r>
          <w:r>
            <w:tab/>
          </w:r>
          <w:r>
            <w:fldChar w:fldCharType="begin"/>
          </w:r>
          <w:r>
            <w:instrText xml:space="preserve"> PAGEREF _Toc17818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8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_Toc14561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</w:rPr>
            <w:t xml:space="preserve">1.5.3. </w:t>
          </w:r>
          <w:r>
            <w:rPr>
              <w:rFonts w:hint="eastAsia"/>
              <w:lang w:val="en-US" w:eastAsia="zh-CN"/>
            </w:rPr>
            <w:t>学生</w:t>
          </w:r>
          <w:r>
            <w:tab/>
          </w:r>
          <w:r>
            <w:fldChar w:fldCharType="begin"/>
          </w:r>
          <w:r>
            <w:instrText xml:space="preserve"> PAGEREF _Toc14561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20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_Toc3204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1.6. 加分项目提交（学生操作）</w:t>
          </w:r>
          <w:r>
            <w:tab/>
          </w:r>
          <w:r>
            <w:fldChar w:fldCharType="begin"/>
          </w:r>
          <w:r>
            <w:instrText xml:space="preserve"> PAGEREF _Toc3204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20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_Toc24230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1.7. 减分项目提交（班长、辅导员）</w:t>
          </w:r>
          <w:r>
            <w:tab/>
          </w:r>
          <w:r>
            <w:fldChar w:fldCharType="begin"/>
          </w:r>
          <w:r>
            <w:instrText xml:space="preserve"> PAGEREF _Toc24230 \h </w:instrText>
          </w:r>
          <w:r>
            <w:fldChar w:fldCharType="separate"/>
          </w:r>
          <w:r>
            <w:t>12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20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_Toc16589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1.8. 班长加分项目审核（班长，辅导员）</w:t>
          </w:r>
          <w:r>
            <w:tab/>
          </w:r>
          <w:r>
            <w:fldChar w:fldCharType="begin"/>
          </w:r>
          <w:r>
            <w:instrText xml:space="preserve"> PAGEREF _Toc16589 \h </w:instrText>
          </w:r>
          <w:r>
            <w:fldChar w:fldCharType="separate"/>
          </w:r>
          <w:r>
            <w:t>13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20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_Toc4516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1.9. 加减分项目审核（辅导员）</w:t>
          </w:r>
          <w:r>
            <w:tab/>
          </w:r>
          <w:r>
            <w:fldChar w:fldCharType="begin"/>
          </w:r>
          <w:r>
            <w:instrText xml:space="preserve"> PAGEREF _Toc4516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20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_Toc30310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1.10. 考勤信息同步（系统同步迟到，早退，旷课）</w:t>
          </w:r>
          <w:r>
            <w:tab/>
          </w:r>
          <w:r>
            <w:fldChar w:fldCharType="begin"/>
          </w:r>
          <w:r>
            <w:instrText xml:space="preserve"> PAGEREF _Toc30310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20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_Toc19130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1.11. 班级评议分计算（辅导员）</w:t>
          </w:r>
          <w:r>
            <w:tab/>
          </w:r>
          <w:r>
            <w:fldChar w:fldCharType="begin"/>
          </w:r>
          <w:r>
            <w:instrText xml:space="preserve"> PAGEREF _Toc19130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20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_Toc27810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1.12. 综合测评成绩计算（院系）</w:t>
          </w:r>
          <w:r>
            <w:tab/>
          </w:r>
          <w:r>
            <w:fldChar w:fldCharType="begin"/>
          </w:r>
          <w:r>
            <w:instrText xml:space="preserve"> PAGEREF _Toc27810 \h </w:instrText>
          </w:r>
          <w:r>
            <w:fldChar w:fldCharType="separate"/>
          </w:r>
          <w:r>
            <w:t>16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20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_Toc30260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1.13. 综合测评成绩查询（学生处、院系、辅导员）</w:t>
          </w:r>
          <w:r>
            <w:tab/>
          </w:r>
          <w:r>
            <w:fldChar w:fldCharType="begin"/>
          </w:r>
          <w:r>
            <w:instrText xml:space="preserve"> PAGEREF _Toc30260 \h </w:instrText>
          </w:r>
          <w:r>
            <w:fldChar w:fldCharType="separate"/>
          </w:r>
          <w:r>
            <w:t>16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20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_Toc26578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1.14. 拟评奖学金名单生成（学院、辅导员）</w:t>
          </w:r>
          <w:r>
            <w:tab/>
          </w:r>
          <w:r>
            <w:fldChar w:fldCharType="begin"/>
          </w:r>
          <w:r>
            <w:instrText xml:space="preserve"> PAGEREF _Toc26578 \h </w:instrText>
          </w:r>
          <w:r>
            <w:fldChar w:fldCharType="separate"/>
          </w:r>
          <w:r>
            <w:t>16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ageBreakBefore w:val="0"/>
            <w:widowControl w:val="0"/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textAlignment w:val="auto"/>
            <w:outlineLvl w:val="9"/>
            <w:rPr>
              <w:rFonts w:hint="eastAsia" w:ascii="Calibri" w:hAnsi="Calibri" w:eastAsia="微软雅黑" w:cs="Times New Roman"/>
              <w:b/>
              <w:kern w:val="44"/>
              <w:sz w:val="32"/>
              <w:szCs w:val="22"/>
              <w:lang w:val="en-US" w:eastAsia="zh-CN" w:bidi="ar-SA"/>
            </w:rPr>
          </w:pPr>
          <w:r>
            <w:rPr>
              <w:rFonts w:hint="eastAsia"/>
              <w:lang w:val="en-US" w:eastAsia="zh-CN"/>
            </w:rPr>
            <w:fldChar w:fldCharType="end"/>
          </w:r>
        </w:p>
      </w:sdtContent>
    </w:sdt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textAlignment w:val="auto"/>
        <w:outlineLvl w:val="9"/>
        <w:rPr>
          <w:rFonts w:hint="eastAsia" w:ascii="Calibri" w:hAnsi="Calibri" w:eastAsia="微软雅黑" w:cs="Times New Roman"/>
          <w:b/>
          <w:kern w:val="44"/>
          <w:sz w:val="32"/>
          <w:szCs w:val="22"/>
          <w:lang w:val="en-US" w:eastAsia="zh-CN" w:bidi="ar-SA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textAlignment w:val="auto"/>
        <w:outlineLvl w:val="9"/>
        <w:rPr>
          <w:rFonts w:hint="eastAsia" w:ascii="Calibri" w:hAnsi="Calibri" w:eastAsia="微软雅黑" w:cs="Times New Roman"/>
          <w:b/>
          <w:kern w:val="44"/>
          <w:sz w:val="32"/>
          <w:szCs w:val="22"/>
          <w:lang w:val="en-US" w:eastAsia="zh-CN" w:bidi="ar-SA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textAlignment w:val="auto"/>
        <w:outlineLvl w:val="9"/>
        <w:rPr>
          <w:rFonts w:hint="eastAsia"/>
          <w:lang w:val="en-US" w:eastAsia="zh-CN"/>
        </w:rPr>
      </w:pPr>
    </w:p>
    <w:p>
      <w:pPr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textAlignment w:val="auto"/>
        <w:outlineLvl w:val="9"/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ind w:left="0" w:leftChars="0" w:firstLine="0" w:firstLineChars="0"/>
        <w:rPr>
          <w:rFonts w:hint="eastAsia"/>
          <w:lang w:val="en-US" w:eastAsia="zh-CN"/>
        </w:rPr>
      </w:pP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总体流程图如下：</w:t>
      </w:r>
    </w:p>
    <w:p>
      <w:pPr>
        <w:ind w:left="0" w:leftChars="0" w:firstLine="0" w:firstLine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6024245" cy="2887980"/>
            <wp:effectExtent l="0" t="0" r="8255" b="7620"/>
            <wp:docPr id="5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1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024245" cy="2887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bidi w:val="0"/>
        <w:rPr>
          <w:rFonts w:hint="eastAsia"/>
          <w:lang w:eastAsia="zh-CN"/>
        </w:rPr>
      </w:pPr>
      <w:bookmarkStart w:id="0" w:name="_Toc9936"/>
      <w:r>
        <w:rPr>
          <w:rFonts w:hint="eastAsia"/>
          <w:lang w:val="en-US" w:eastAsia="zh-CN"/>
        </w:rPr>
        <w:t>综合素质测评管理</w:t>
      </w:r>
      <w:bookmarkEnd w:id="0"/>
    </w:p>
    <w:p>
      <w:pPr>
        <w:pStyle w:val="10"/>
        <w:bidi w:val="0"/>
        <w:rPr>
          <w:rFonts w:hint="default"/>
          <w:lang w:val="en-US" w:eastAsia="zh-CN"/>
        </w:rPr>
      </w:pPr>
      <w:bookmarkStart w:id="1" w:name="_Toc9480"/>
      <w:r>
        <w:rPr>
          <w:rFonts w:hint="eastAsia"/>
          <w:lang w:val="en-US" w:eastAsia="zh-CN"/>
        </w:rPr>
        <w:t>创建批次（学生处操作）</w:t>
      </w:r>
      <w:bookmarkEnd w:id="1"/>
    </w:p>
    <w:p>
      <w:p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由学生处在开启综合素质测评前创建批次，批次包括参与测评的届次、参评学院、加减分申请时间、班级评分时间等。</w:t>
      </w:r>
    </w:p>
    <w:p>
      <w:pPr>
        <w:ind w:left="0" w:leftChars="0" w:firstLine="0" w:firstLineChars="0"/>
      </w:pPr>
      <w:r>
        <w:drawing>
          <wp:inline distT="0" distB="0" distL="114300" distR="114300">
            <wp:extent cx="5258435" cy="2172970"/>
            <wp:effectExtent l="0" t="0" r="12065" b="11430"/>
            <wp:docPr id="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2172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创建好后，由学生处开启批次即可</w:t>
      </w:r>
    </w:p>
    <w:p>
      <w:pPr>
        <w:ind w:left="0" w:leftChars="0" w:firstLine="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6055" cy="2508250"/>
            <wp:effectExtent l="0" t="0" r="4445" b="6350"/>
            <wp:docPr id="2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50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0"/>
        <w:bidi w:val="0"/>
        <w:rPr>
          <w:rFonts w:hint="default"/>
          <w:lang w:val="en-US" w:eastAsia="zh-CN"/>
        </w:rPr>
      </w:pPr>
      <w:bookmarkStart w:id="2" w:name="_Toc24188"/>
      <w:bookmarkStart w:id="3" w:name="_Toc23853"/>
      <w:r>
        <w:rPr>
          <w:rFonts w:hint="eastAsia"/>
          <w:lang w:val="en-US" w:eastAsia="zh-CN"/>
        </w:rPr>
        <w:t>加减分项目管理</w:t>
      </w:r>
      <w:bookmarkEnd w:id="2"/>
      <w:r>
        <w:rPr>
          <w:rFonts w:hint="eastAsia"/>
          <w:lang w:val="en-US" w:eastAsia="zh-CN"/>
        </w:rPr>
        <w:t>（学生处操作）</w:t>
      </w:r>
      <w:bookmarkEnd w:id="3"/>
    </w:p>
    <w:p>
      <w:pPr>
        <w:bidi w:val="0"/>
        <w:spacing w:line="360" w:lineRule="auto"/>
        <w:ind w:firstLine="420" w:firstLineChars="0"/>
        <w:rPr>
          <w:rFonts w:hint="eastAsia" w:ascii="微软雅黑" w:hAnsi="微软雅黑" w:cs="微软雅黑"/>
          <w:b w:val="0"/>
          <w:bCs w:val="0"/>
          <w:lang w:val="en-US" w:eastAsia="zh-CN"/>
        </w:rPr>
      </w:pPr>
      <w:r>
        <w:rPr>
          <w:rFonts w:hint="eastAsia" w:ascii="微软雅黑" w:hAnsi="微软雅黑" w:cs="微软雅黑"/>
          <w:b w:val="0"/>
          <w:bCs w:val="0"/>
          <w:lang w:val="en-US" w:eastAsia="zh-CN"/>
        </w:rPr>
        <w:t>由学生处创建维护好学校综合测评加分项目、减分项目指标信息。</w:t>
      </w: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5258435" cy="2176780"/>
            <wp:effectExtent l="0" t="0" r="12065" b="7620"/>
            <wp:docPr id="2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2176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1"/>
        <w:bidi w:val="0"/>
        <w:spacing w:line="360" w:lineRule="auto"/>
        <w:rPr>
          <w:rFonts w:hint="eastAsia" w:ascii="微软雅黑" w:hAnsi="微软雅黑" w:eastAsia="微软雅黑" w:cs="微软雅黑"/>
          <w:lang w:val="en-US" w:eastAsia="zh-CN"/>
        </w:rPr>
      </w:pPr>
      <w:bookmarkStart w:id="4" w:name="_Toc6973"/>
      <w:bookmarkStart w:id="5" w:name="_Toc12093"/>
      <w:bookmarkStart w:id="6" w:name="_Toc8198"/>
      <w:r>
        <w:rPr>
          <w:rFonts w:hint="eastAsia" w:ascii="微软雅黑" w:hAnsi="微软雅黑" w:eastAsia="微软雅黑" w:cs="微软雅黑"/>
          <w:lang w:val="en-US" w:eastAsia="zh-CN"/>
        </w:rPr>
        <w:t>无限制</w:t>
      </w:r>
      <w:bookmarkEnd w:id="4"/>
      <w:bookmarkEnd w:id="5"/>
      <w:bookmarkEnd w:id="6"/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420" w:firstLineChars="200"/>
        <w:textAlignment w:val="auto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只要分数有效，无限制分数项提交的分数都会纳入计算。</w:t>
      </w:r>
    </w:p>
    <w:p>
      <w:pPr>
        <w:spacing w:line="360" w:lineRule="auto"/>
        <w:ind w:firstLine="0" w:firstLineChars="0"/>
        <w:rPr>
          <w:rFonts w:hint="eastAsia" w:ascii="微软雅黑" w:hAnsi="微软雅黑" w:eastAsia="微软雅黑" w:cs="微软雅黑"/>
        </w:rPr>
      </w:pPr>
      <w:r>
        <w:drawing>
          <wp:inline distT="0" distB="0" distL="114300" distR="114300">
            <wp:extent cx="5213985" cy="1798320"/>
            <wp:effectExtent l="0" t="0" r="5715" b="5080"/>
            <wp:docPr id="2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rcRect l="17583"/>
                    <a:stretch>
                      <a:fillRect/>
                    </a:stretch>
                  </pic:blipFill>
                  <pic:spPr>
                    <a:xfrm>
                      <a:off x="0" y="0"/>
                      <a:ext cx="5213985" cy="179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1"/>
        <w:bidi w:val="0"/>
        <w:spacing w:line="360" w:lineRule="auto"/>
        <w:rPr>
          <w:rFonts w:hint="eastAsia" w:ascii="微软雅黑" w:hAnsi="微软雅黑" w:eastAsia="微软雅黑" w:cs="微软雅黑"/>
          <w:lang w:val="en-US" w:eastAsia="zh-CN"/>
        </w:rPr>
      </w:pPr>
      <w:bookmarkStart w:id="7" w:name="_Toc7338"/>
      <w:bookmarkStart w:id="8" w:name="_Toc7001"/>
      <w:bookmarkStart w:id="9" w:name="_Toc19087"/>
      <w:r>
        <w:rPr>
          <w:rFonts w:hint="eastAsia" w:ascii="微软雅黑" w:hAnsi="微软雅黑" w:eastAsia="微软雅黑" w:cs="微软雅黑"/>
          <w:lang w:val="en-US" w:eastAsia="zh-CN"/>
        </w:rPr>
        <w:t>限制分数/次数</w:t>
      </w:r>
      <w:bookmarkEnd w:id="7"/>
      <w:bookmarkEnd w:id="8"/>
      <w:bookmarkEnd w:id="9"/>
    </w:p>
    <w:p>
      <w:pPr>
        <w:spacing w:line="360" w:lineRule="auto"/>
        <w:ind w:firstLine="420" w:firstLine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针对有分数或者次数限制的规则设置，在“是否限制”处选择分数/次数限制，填写限制的分数/次数。</w:t>
      </w:r>
    </w:p>
    <w:p>
      <w:pPr>
        <w:bidi w:val="0"/>
        <w:ind w:left="0" w:leftChars="0" w:firstLine="0" w:firstLineChars="0"/>
        <w:rPr>
          <w:rFonts w:hint="eastAsia"/>
        </w:rPr>
      </w:pPr>
      <w:r>
        <w:drawing>
          <wp:inline distT="0" distB="0" distL="114300" distR="114300">
            <wp:extent cx="5273040" cy="1461770"/>
            <wp:effectExtent l="0" t="0" r="10160" b="11430"/>
            <wp:docPr id="2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461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1"/>
        <w:bidi w:val="0"/>
        <w:spacing w:line="360" w:lineRule="auto"/>
        <w:rPr>
          <w:rFonts w:hint="eastAsia" w:ascii="微软雅黑" w:hAnsi="微软雅黑" w:eastAsia="微软雅黑" w:cs="微软雅黑"/>
          <w:lang w:val="en-US" w:eastAsia="zh-CN"/>
        </w:rPr>
      </w:pPr>
      <w:bookmarkStart w:id="10" w:name="_Toc3383"/>
      <w:bookmarkStart w:id="11" w:name="_Toc18522"/>
      <w:bookmarkStart w:id="12" w:name="_Toc4833"/>
      <w:r>
        <w:rPr>
          <w:rFonts w:hint="eastAsia" w:ascii="微软雅黑" w:hAnsi="微软雅黑" w:eastAsia="微软雅黑" w:cs="微软雅黑"/>
          <w:lang w:val="en-US" w:eastAsia="zh-CN"/>
        </w:rPr>
        <w:t>多分项</w:t>
      </w:r>
      <w:bookmarkEnd w:id="10"/>
      <w:bookmarkEnd w:id="11"/>
      <w:bookmarkEnd w:id="12"/>
    </w:p>
    <w:p>
      <w:pPr>
        <w:spacing w:line="360" w:lineRule="auto"/>
        <w:ind w:firstLine="420" w:firstLine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多分项规则针对一个加分规则下有多种得分情况的，如图所示：</w:t>
      </w:r>
    </w:p>
    <w:p>
      <w:pPr>
        <w:spacing w:line="360" w:lineRule="auto"/>
        <w:ind w:firstLine="0" w:firstLineChars="0"/>
        <w:rPr>
          <w:rFonts w:hint="eastAsia" w:ascii="微软雅黑" w:hAnsi="微软雅黑" w:eastAsia="微软雅黑" w:cs="微软雅黑"/>
        </w:rPr>
      </w:pPr>
      <w:r>
        <w:drawing>
          <wp:inline distT="0" distB="0" distL="114300" distR="114300">
            <wp:extent cx="5266690" cy="1748155"/>
            <wp:effectExtent l="0" t="0" r="3810" b="4445"/>
            <wp:docPr id="2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748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0"/>
        <w:rPr>
          <w:rFonts w:hint="eastAsia" w:ascii="微软雅黑" w:hAnsi="微软雅黑" w:eastAsia="微软雅黑" w:cs="微软雅黑"/>
          <w:b/>
          <w:bCs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sz w:val="21"/>
          <w:szCs w:val="21"/>
          <w:lang w:val="en-US" w:eastAsia="zh-CN"/>
        </w:rPr>
        <w:t>设置方法：</w:t>
      </w:r>
    </w:p>
    <w:p>
      <w:pPr>
        <w:spacing w:line="360" w:lineRule="auto"/>
        <w:ind w:firstLine="420" w:firstLineChars="0"/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选择“</w:t>
      </w:r>
      <w:r>
        <w:rPr>
          <w:rFonts w:hint="eastAsia" w:ascii="微软雅黑" w:hAnsi="微软雅黑" w:cs="微软雅黑"/>
          <w:sz w:val="21"/>
          <w:szCs w:val="21"/>
          <w:lang w:val="en-US" w:eastAsia="zh-CN"/>
        </w:rPr>
        <w:t>是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”</w:t>
      </w:r>
      <w:r>
        <w:rPr>
          <w:rFonts w:hint="eastAsia" w:ascii="微软雅黑" w:hAnsi="微软雅黑" w:cs="微软雅黑"/>
          <w:sz w:val="21"/>
          <w:szCs w:val="21"/>
          <w:lang w:val="en-US" w:eastAsia="zh-CN"/>
        </w:rPr>
        <w:t>后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，然后点击页面“添加</w:t>
      </w:r>
      <w:r>
        <w:rPr>
          <w:rFonts w:hint="eastAsia" w:ascii="微软雅黑" w:hAnsi="微软雅黑" w:cs="微软雅黑"/>
          <w:sz w:val="21"/>
          <w:szCs w:val="21"/>
          <w:lang w:val="en-US" w:eastAsia="zh-CN"/>
        </w:rPr>
        <w:t>多分数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”，在窗口填写多项分数规则，如图所示：</w:t>
      </w:r>
    </w:p>
    <w:p>
      <w:pPr>
        <w:bidi w:val="0"/>
        <w:ind w:left="0" w:leftChars="0" w:firstLine="0" w:firstLineChars="0"/>
      </w:pPr>
      <w:r>
        <w:drawing>
          <wp:inline distT="0" distB="0" distL="114300" distR="114300">
            <wp:extent cx="5271135" cy="1856105"/>
            <wp:effectExtent l="0" t="0" r="12065" b="10795"/>
            <wp:docPr id="2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856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</w:p>
    <w:p>
      <w:pPr>
        <w:pStyle w:val="10"/>
        <w:bidi w:val="0"/>
        <w:rPr>
          <w:rFonts w:hint="default"/>
          <w:lang w:val="en-US" w:eastAsia="zh-CN"/>
        </w:rPr>
      </w:pPr>
      <w:bookmarkStart w:id="13" w:name="_Toc16023"/>
      <w:bookmarkStart w:id="14" w:name="_Toc21659"/>
      <w:r>
        <w:rPr>
          <w:rFonts w:hint="eastAsia"/>
          <w:lang w:val="en-US" w:eastAsia="zh-CN"/>
        </w:rPr>
        <w:t>班级评议</w:t>
      </w:r>
      <w:bookmarkEnd w:id="13"/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班级评议主要成员包括：辅导员、班主任、评议成员，三个角色配置具体如下</w:t>
      </w:r>
    </w:p>
    <w:p>
      <w:pPr>
        <w:pStyle w:val="11"/>
        <w:bidi w:val="0"/>
        <w:rPr>
          <w:rFonts w:hint="default"/>
          <w:lang w:val="en-US" w:eastAsia="zh-CN"/>
        </w:rPr>
      </w:pPr>
      <w:bookmarkStart w:id="15" w:name="_Toc22563"/>
      <w:r>
        <w:rPr>
          <w:rFonts w:hint="eastAsia"/>
          <w:lang w:val="en-US" w:eastAsia="zh-CN"/>
        </w:rPr>
        <w:t>辅导员、班主任（学院操作）</w:t>
      </w:r>
      <w:bookmarkEnd w:id="15"/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辅导员、班主任的信息来源，主要是平时日常中维护的辅导员配班、班主任配班读取的。所以日常配置好后，辅导员、班主任则自动有评议打分的权限。</w:t>
      </w:r>
    </w:p>
    <w:p>
      <w:pPr>
        <w:pStyle w:val="2"/>
        <w:ind w:left="0" w:leftChars="0" w:firstLine="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4289425" cy="2708275"/>
            <wp:effectExtent l="0" t="0" r="3175" b="9525"/>
            <wp:docPr id="3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289425" cy="270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1"/>
        <w:bidi w:val="0"/>
        <w:spacing w:line="360" w:lineRule="auto"/>
        <w:rPr>
          <w:rFonts w:hint="default"/>
          <w:lang w:val="en-US" w:eastAsia="zh-CN"/>
        </w:rPr>
      </w:pPr>
      <w:bookmarkStart w:id="16" w:name="_Toc30050"/>
      <w:r>
        <w:rPr>
          <w:rFonts w:hint="eastAsia"/>
          <w:lang w:val="en-US" w:eastAsia="zh-CN"/>
        </w:rPr>
        <w:t>评议小组学生成员（辅导员操作）</w:t>
      </w:r>
      <w:bookmarkEnd w:id="16"/>
    </w:p>
    <w:p>
      <w:pPr>
        <w:pStyle w:val="2"/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辅导员点击【评议小组设置】设置，点击班级代码，勾选需要设置的小组成员。具体如下</w:t>
      </w:r>
      <w:r>
        <w:rPr>
          <w:rFonts w:hint="eastAsia"/>
          <w:color w:val="FF0000"/>
          <w:lang w:val="en-US" w:eastAsia="zh-CN"/>
        </w:rPr>
        <w:t>（辅导员、班主任配班后就有打分权限）</w:t>
      </w:r>
    </w:p>
    <w:p>
      <w:pPr>
        <w:rPr>
          <w:rFonts w:hint="default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注意：如果小组成员被取消后，点击保存，会自动清空成员打分数据，慎点</w:t>
      </w: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5266690" cy="2186940"/>
            <wp:effectExtent l="0" t="0" r="3810" b="10160"/>
            <wp:docPr id="31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186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5265420" cy="2168525"/>
            <wp:effectExtent l="0" t="0" r="5080" b="3175"/>
            <wp:docPr id="3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16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37" w:name="_GoBack"/>
      <w:bookmarkEnd w:id="37"/>
    </w:p>
    <w:p>
      <w:pPr>
        <w:pStyle w:val="10"/>
        <w:bidi w:val="0"/>
        <w:rPr>
          <w:rFonts w:hint="eastAsia"/>
          <w:lang w:eastAsia="zh-CN"/>
        </w:rPr>
      </w:pPr>
      <w:bookmarkStart w:id="17" w:name="_Toc24621"/>
      <w:r>
        <w:rPr>
          <w:rFonts w:hint="eastAsia"/>
          <w:lang w:val="en-US" w:eastAsia="zh-CN"/>
        </w:rPr>
        <w:t>基础成绩管理</w:t>
      </w:r>
      <w:bookmarkEnd w:id="17"/>
    </w:p>
    <w:p>
      <w:pPr>
        <w:pStyle w:val="11"/>
        <w:bidi w:val="0"/>
        <w:rPr>
          <w:rFonts w:hint="eastAsia"/>
          <w:lang w:eastAsia="zh-CN"/>
        </w:rPr>
      </w:pPr>
      <w:bookmarkStart w:id="18" w:name="_Toc6050"/>
      <w:r>
        <w:rPr>
          <w:rFonts w:hint="eastAsia"/>
          <w:lang w:val="en-US" w:eastAsia="zh-CN"/>
        </w:rPr>
        <w:t>学业成绩管理（同步数据中心）</w:t>
      </w:r>
      <w:bookmarkEnd w:id="18"/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系统与学校数据中台进行了信息对接，将会在开展综合测评时进行学业成绩同步操作，同步后学院、辅导员可查询或设置是否纳入综合测评。</w:t>
      </w:r>
    </w:p>
    <w:p>
      <w:pPr>
        <w:bidi w:val="0"/>
        <w:ind w:left="0" w:leftChars="0" w:firstLine="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106930"/>
            <wp:effectExtent l="0" t="0" r="3810" b="1270"/>
            <wp:docPr id="3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106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1"/>
        <w:bidi w:val="0"/>
        <w:rPr>
          <w:rFonts w:hint="eastAsia"/>
          <w:lang w:eastAsia="zh-CN"/>
        </w:rPr>
      </w:pPr>
      <w:bookmarkStart w:id="19" w:name="_Toc2934"/>
      <w:r>
        <w:rPr>
          <w:rFonts w:hint="eastAsia"/>
          <w:lang w:val="en-US" w:eastAsia="zh-CN"/>
        </w:rPr>
        <w:t>学习成绩排名（院系操作）</w:t>
      </w:r>
      <w:bookmarkEnd w:id="19"/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学业课程成绩读取后，系部可计算学业成绩排名信息，可导出数据，具体操作步骤如图所示。</w:t>
      </w:r>
    </w:p>
    <w:p>
      <w:pPr>
        <w:pStyle w:val="2"/>
        <w:rPr>
          <w:rFonts w:hint="default"/>
          <w:color w:val="FF0000"/>
          <w:lang w:val="en-US"/>
        </w:rPr>
      </w:pPr>
      <w:r>
        <w:rPr>
          <w:rFonts w:hint="eastAsia"/>
          <w:color w:val="FF0000"/>
          <w:lang w:val="en-US" w:eastAsia="zh-CN"/>
        </w:rPr>
        <w:t>注意：如果课程成绩发生改变则需要重新点击计算。</w:t>
      </w: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5262880" cy="2520315"/>
            <wp:effectExtent l="0" t="0" r="7620" b="6985"/>
            <wp:docPr id="3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520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计算后，则可查看学业成绩信息。</w:t>
      </w: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5262880" cy="1974850"/>
            <wp:effectExtent l="0" t="0" r="7620" b="6350"/>
            <wp:docPr id="3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197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1"/>
        <w:bidi w:val="0"/>
        <w:rPr>
          <w:rFonts w:hint="eastAsia"/>
          <w:lang w:eastAsia="zh-CN"/>
        </w:rPr>
      </w:pPr>
      <w:bookmarkStart w:id="20" w:name="_Toc7251"/>
      <w:r>
        <w:rPr>
          <w:rFonts w:hint="eastAsia"/>
          <w:lang w:val="en-US" w:eastAsia="zh-CN"/>
        </w:rPr>
        <w:t>体测成绩管理（学生处操作）</w:t>
      </w:r>
      <w:bookmarkEnd w:id="20"/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由学生处统一导入全校学生体测成绩信息，导入后学院、辅导员可查询。</w:t>
      </w: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5264150" cy="1745615"/>
            <wp:effectExtent l="0" t="0" r="6350" b="6985"/>
            <wp:docPr id="3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745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0"/>
        <w:bidi w:val="0"/>
        <w:rPr>
          <w:rFonts w:hint="default"/>
          <w:lang w:val="en-US" w:eastAsia="zh-CN"/>
        </w:rPr>
      </w:pPr>
      <w:bookmarkStart w:id="21" w:name="_Toc13278"/>
      <w:r>
        <w:rPr>
          <w:rFonts w:hint="eastAsia"/>
          <w:lang w:val="en-US" w:eastAsia="zh-CN"/>
        </w:rPr>
        <w:t>评议打分（辅导员、班主任、评议小组成员）</w:t>
      </w:r>
      <w:bookmarkEnd w:id="21"/>
    </w:p>
    <w:p>
      <w:pPr>
        <w:pStyle w:val="2"/>
        <w:rPr>
          <w:rFonts w:hint="default" w:eastAsia="微软雅黑"/>
          <w:lang w:val="en-US" w:eastAsia="zh-CN"/>
        </w:rPr>
      </w:pPr>
      <w:r>
        <w:rPr>
          <w:rFonts w:hint="eastAsia"/>
          <w:lang w:val="en-US" w:eastAsia="zh-CN"/>
        </w:rPr>
        <w:t>系统默认五个指标都为12分，如需调整修改分值即可，修改完成后，点击提交即可完成评分操作。具体功能栏目如下节点所示</w:t>
      </w:r>
    </w:p>
    <w:p>
      <w:pPr>
        <w:ind w:left="0" w:leftChars="0" w:firstLine="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1610" cy="1876425"/>
            <wp:effectExtent l="0" t="0" r="8890" b="3175"/>
            <wp:docPr id="2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1"/>
        <w:bidi w:val="0"/>
        <w:rPr>
          <w:rFonts w:hint="default"/>
          <w:lang w:val="en-US" w:eastAsia="zh-CN"/>
        </w:rPr>
      </w:pPr>
      <w:bookmarkStart w:id="22" w:name="_Toc8520"/>
      <w:r>
        <w:rPr>
          <w:rFonts w:hint="eastAsia"/>
          <w:lang w:val="en-US" w:eastAsia="zh-CN"/>
        </w:rPr>
        <w:t>辅导员</w:t>
      </w:r>
      <w:bookmarkEnd w:id="22"/>
    </w:p>
    <w:p>
      <w:pPr>
        <w:rPr>
          <w:rFonts w:hint="default"/>
          <w:lang w:val="en-US" w:eastAsia="zh-CN"/>
        </w:rPr>
      </w:pPr>
    </w:p>
    <w:p>
      <w:pPr>
        <w:ind w:left="0" w:leftChars="0" w:firstLine="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2245" cy="1685290"/>
            <wp:effectExtent l="0" t="0" r="8255" b="3810"/>
            <wp:docPr id="4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1685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1"/>
        <w:bidi w:val="0"/>
        <w:rPr>
          <w:rFonts w:hint="default"/>
          <w:lang w:val="en-US" w:eastAsia="zh-CN"/>
        </w:rPr>
      </w:pPr>
      <w:bookmarkStart w:id="23" w:name="_Toc17818"/>
      <w:r>
        <w:rPr>
          <w:rFonts w:hint="eastAsia"/>
          <w:lang w:val="en-US" w:eastAsia="zh-CN"/>
        </w:rPr>
        <w:t>班主任</w:t>
      </w:r>
      <w:bookmarkEnd w:id="23"/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5264150" cy="929640"/>
            <wp:effectExtent l="0" t="0" r="6350" b="10160"/>
            <wp:docPr id="4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92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1"/>
        <w:bidi w:val="0"/>
      </w:pPr>
      <w:bookmarkStart w:id="24" w:name="_Toc14561"/>
      <w:r>
        <w:rPr>
          <w:rFonts w:hint="eastAsia"/>
          <w:lang w:val="en-US" w:eastAsia="zh-CN"/>
        </w:rPr>
        <w:t>学生</w:t>
      </w:r>
      <w:bookmarkEnd w:id="24"/>
    </w:p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辅导员设置好评议成员后，成员登录智慧学工，可查看【班级评议打分】栏目，点击【评价打分】可根据栏目每一项打分。</w:t>
      </w:r>
    </w:p>
    <w:p>
      <w:pPr>
        <w:bidi w:val="0"/>
        <w:ind w:left="0" w:leftChars="0" w:firstLine="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71770" cy="2572385"/>
            <wp:effectExtent l="0" t="0" r="11430" b="5715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572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0"/>
        <w:bidi w:val="0"/>
        <w:rPr>
          <w:rFonts w:hint="default"/>
          <w:lang w:val="en-US" w:eastAsia="zh-CN"/>
        </w:rPr>
      </w:pPr>
      <w:bookmarkStart w:id="25" w:name="_Toc3204"/>
      <w:bookmarkStart w:id="26" w:name="_Toc9191"/>
      <w:bookmarkStart w:id="27" w:name="_Toc1010"/>
      <w:r>
        <w:rPr>
          <w:rFonts w:hint="eastAsia"/>
          <w:lang w:val="en-US" w:eastAsia="zh-CN"/>
        </w:rPr>
        <w:t>加分项目提交（学生操作）</w:t>
      </w:r>
      <w:bookmarkEnd w:id="25"/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学生可记录加分信息，综测开始后手动提交申请。</w:t>
      </w:r>
    </w:p>
    <w:p>
      <w:pPr>
        <w:bidi w:val="0"/>
        <w:ind w:left="0" w:leftChars="0" w:firstLine="0" w:firstLineChars="0"/>
      </w:pPr>
      <w:r>
        <w:drawing>
          <wp:inline distT="0" distB="0" distL="114300" distR="114300">
            <wp:extent cx="5272405" cy="1570355"/>
            <wp:effectExtent l="0" t="0" r="10795" b="4445"/>
            <wp:docPr id="1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570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ind w:left="0" w:leftChars="0" w:firstLine="0" w:firstLineChars="0"/>
      </w:pPr>
      <w:r>
        <w:drawing>
          <wp:inline distT="0" distB="0" distL="114300" distR="114300">
            <wp:extent cx="5271135" cy="1240155"/>
            <wp:effectExtent l="0" t="0" r="12065" b="4445"/>
            <wp:docPr id="4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24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ab/>
      </w:r>
      <w:r>
        <w:rPr>
          <w:rFonts w:hint="eastAsia"/>
          <w:lang w:val="en-US" w:eastAsia="zh-CN"/>
        </w:rPr>
        <w:t>打回数据可点击进入详情页修改后重新提交或撤销申请。</w:t>
      </w:r>
    </w:p>
    <w:p>
      <w:pPr>
        <w:bidi w:val="0"/>
        <w:ind w:left="0" w:leftChars="0" w:firstLine="0" w:firstLineChars="0"/>
      </w:pPr>
      <w:r>
        <w:drawing>
          <wp:inline distT="0" distB="0" distL="114300" distR="114300">
            <wp:extent cx="5270500" cy="568960"/>
            <wp:effectExtent l="0" t="0" r="0" b="2540"/>
            <wp:docPr id="1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568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default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注意：如果被拒绝了要重新上传，需要删除原申请的数据</w:t>
      </w: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5271135" cy="1509395"/>
            <wp:effectExtent l="0" t="0" r="12065" b="1905"/>
            <wp:docPr id="46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1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509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0"/>
        <w:bidi w:val="0"/>
        <w:rPr>
          <w:rFonts w:hint="eastAsia"/>
          <w:lang w:val="en-US" w:eastAsia="zh-CN"/>
        </w:rPr>
      </w:pPr>
      <w:bookmarkStart w:id="28" w:name="_Toc24230"/>
      <w:r>
        <w:rPr>
          <w:rFonts w:hint="eastAsia"/>
          <w:lang w:val="en-US" w:eastAsia="zh-CN"/>
        </w:rPr>
        <w:t>减分项目提交（班长、辅导员）</w:t>
      </w:r>
      <w:bookmarkEnd w:id="28"/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班长提交本班学生的减分。可记录减分信息，综测开始后手动提交申请。</w:t>
      </w:r>
    </w:p>
    <w:p>
      <w:pPr>
        <w:bidi w:val="0"/>
        <w:ind w:left="0" w:leftChars="0" w:firstLine="0" w:firstLineChars="0"/>
      </w:pPr>
      <w:r>
        <w:drawing>
          <wp:inline distT="0" distB="0" distL="114300" distR="114300">
            <wp:extent cx="5268595" cy="2314575"/>
            <wp:effectExtent l="0" t="0" r="1905" b="9525"/>
            <wp:docPr id="1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3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3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ind w:left="0" w:leftChars="0" w:firstLine="0" w:firstLineChars="0"/>
      </w:pPr>
      <w:r>
        <w:drawing>
          <wp:inline distT="0" distB="0" distL="114300" distR="114300">
            <wp:extent cx="5271770" cy="1425575"/>
            <wp:effectExtent l="0" t="0" r="11430" b="9525"/>
            <wp:docPr id="1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4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42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注意：辅导员也可直接添加减分项目</w:t>
      </w:r>
    </w:p>
    <w:p>
      <w:pPr>
        <w:ind w:left="0" w:leftChars="0" w:firstLine="0" w:firstLineChars="0"/>
        <w:rPr>
          <w:rFonts w:hint="default"/>
          <w:lang w:val="en-US" w:eastAsia="zh-CN"/>
        </w:rPr>
      </w:pPr>
    </w:p>
    <w:p>
      <w:pPr>
        <w:pStyle w:val="10"/>
        <w:bidi w:val="0"/>
        <w:rPr>
          <w:rFonts w:hint="default"/>
          <w:lang w:val="en-US" w:eastAsia="zh-CN"/>
        </w:rPr>
      </w:pPr>
      <w:bookmarkStart w:id="29" w:name="_Toc16589"/>
      <w:r>
        <w:rPr>
          <w:rFonts w:hint="eastAsia"/>
          <w:lang w:val="en-US" w:eastAsia="zh-CN"/>
        </w:rPr>
        <w:t>班长加分项目审核（班长，辅导员）</w:t>
      </w:r>
      <w:bookmarkEnd w:id="29"/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班长可审核本班同学加分项目</w:t>
      </w:r>
    </w:p>
    <w:p>
      <w:pPr>
        <w:pStyle w:val="2"/>
        <w:rPr>
          <w:rFonts w:hint="default"/>
          <w:lang w:val="en-US" w:eastAsia="zh-CN"/>
        </w:rPr>
      </w:pPr>
      <w:r>
        <w:rPr>
          <w:rFonts w:hint="eastAsia"/>
          <w:color w:val="FF0000"/>
          <w:lang w:val="en-US" w:eastAsia="zh-CN"/>
        </w:rPr>
        <w:t>说明：如果要批量操作，需要把未标记信息标记后才可点击；</w:t>
      </w:r>
    </w:p>
    <w:p>
      <w:pPr>
        <w:bidi w:val="0"/>
        <w:ind w:left="0" w:leftChars="0" w:firstLine="0" w:firstLineChars="0"/>
      </w:pPr>
      <w:r>
        <w:drawing>
          <wp:inline distT="0" distB="0" distL="114300" distR="114300">
            <wp:extent cx="5261610" cy="2493645"/>
            <wp:effectExtent l="0" t="0" r="8890" b="8255"/>
            <wp:docPr id="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493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ind w:left="0" w:leftChars="0" w:firstLine="0" w:firstLineChars="0"/>
      </w:pPr>
      <w:r>
        <w:drawing>
          <wp:inline distT="0" distB="0" distL="114300" distR="114300">
            <wp:extent cx="5265420" cy="1698625"/>
            <wp:effectExtent l="0" t="0" r="5080" b="3175"/>
            <wp:docPr id="1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169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如果班长毕业实习无法操作班长审核流程，则辅导员也可到班长审核环节去完成班长操作，审核通过后数据则会流转到辅导员审核环节。</w:t>
      </w:r>
    </w:p>
    <w:p>
      <w:pPr>
        <w:ind w:left="0" w:leftChars="0" w:firstLine="0" w:firstLineChars="0"/>
      </w:pPr>
      <w:r>
        <w:drawing>
          <wp:inline distT="0" distB="0" distL="114300" distR="114300">
            <wp:extent cx="5273675" cy="2004060"/>
            <wp:effectExtent l="0" t="0" r="9525" b="2540"/>
            <wp:docPr id="4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00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</w:pPr>
    </w:p>
    <w:p>
      <w:pPr>
        <w:pStyle w:val="10"/>
        <w:bidi w:val="0"/>
        <w:rPr>
          <w:rFonts w:hint="default"/>
          <w:lang w:val="en-US" w:eastAsia="zh-CN"/>
        </w:rPr>
      </w:pPr>
      <w:bookmarkStart w:id="30" w:name="_Toc4516"/>
      <w:r>
        <w:rPr>
          <w:rFonts w:hint="eastAsia"/>
          <w:lang w:val="en-US" w:eastAsia="zh-CN"/>
        </w:rPr>
        <w:t>加减分项目审核（辅导员）</w:t>
      </w:r>
      <w:bookmarkEnd w:id="30"/>
    </w:p>
    <w:p>
      <w:pPr>
        <w:spacing w:line="360" w:lineRule="auto"/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审批管理范围班长审核通过学生的加减分申请。</w:t>
      </w:r>
    </w:p>
    <w:p>
      <w:pPr>
        <w:bidi w:val="0"/>
        <w:ind w:left="0" w:leftChars="0" w:firstLine="0" w:firstLineChars="0"/>
      </w:pPr>
      <w:r>
        <w:drawing>
          <wp:inline distT="0" distB="0" distL="114300" distR="114300">
            <wp:extent cx="5274310" cy="1716405"/>
            <wp:effectExtent l="0" t="0" r="8890" b="1079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1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ind w:left="0" w:leftChars="0" w:firstLine="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5420" cy="1698625"/>
            <wp:effectExtent l="0" t="0" r="5080" b="3175"/>
            <wp:docPr id="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169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0"/>
        <w:bidi w:val="0"/>
        <w:rPr>
          <w:rFonts w:hint="default"/>
          <w:lang w:val="en-US" w:eastAsia="zh-CN"/>
        </w:rPr>
      </w:pPr>
      <w:bookmarkStart w:id="31" w:name="_Toc30310"/>
      <w:r>
        <w:rPr>
          <w:rFonts w:hint="eastAsia"/>
          <w:lang w:val="en-US" w:eastAsia="zh-CN"/>
        </w:rPr>
        <w:t>考勤信息同步（系统同步迟到，早退，旷课）</w:t>
      </w:r>
      <w:bookmarkEnd w:id="31"/>
    </w:p>
    <w:p>
      <w:p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学生教务考勤信息，由系统同步数据中台信息，自定添加到系统中</w:t>
      </w: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5273040" cy="1492250"/>
            <wp:effectExtent l="0" t="0" r="10160" b="6350"/>
            <wp:docPr id="4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12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49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4"/>
      <w:bookmarkEnd w:id="26"/>
      <w:bookmarkEnd w:id="27"/>
    </w:p>
    <w:p>
      <w:pPr>
        <w:pStyle w:val="10"/>
        <w:bidi w:val="0"/>
        <w:rPr>
          <w:rFonts w:hint="default"/>
          <w:lang w:val="en-US" w:eastAsia="zh-CN"/>
        </w:rPr>
      </w:pPr>
      <w:bookmarkStart w:id="32" w:name="_Toc19130"/>
      <w:r>
        <w:rPr>
          <w:rFonts w:hint="eastAsia"/>
          <w:lang w:val="en-US" w:eastAsia="zh-CN"/>
        </w:rPr>
        <w:t>班级评议分计算（辅导员）</w:t>
      </w:r>
      <w:bookmarkEnd w:id="32"/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辅导员可查询权限范围内，班级评议情况，点击未完成或已完成可查看打分详情。</w:t>
      </w:r>
    </w:p>
    <w:p>
      <w:pPr>
        <w:pStyle w:val="2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点击班级评议计算即可算出评议打分数据。</w:t>
      </w:r>
    </w:p>
    <w:p>
      <w:pPr>
        <w:pStyle w:val="2"/>
        <w:rPr>
          <w:rFonts w:hint="eastAsia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未完成：未执行班级评议计算则都是未完成状态，在计算的时候系统会检查班级是否都完成的评价，如果有未完成的则计算不通过。</w:t>
      </w:r>
    </w:p>
    <w:p>
      <w:pPr>
        <w:ind w:left="0" w:leftChars="0" w:firstLine="0" w:firstLineChars="0"/>
        <w:rPr>
          <w:rFonts w:hint="default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 xml:space="preserve">  已完成：执行了班级评议计算，并且执行成功的。</w:t>
      </w:r>
    </w:p>
    <w:p>
      <w:pPr>
        <w:ind w:left="0" w:leftChars="0" w:firstLine="0" w:firstLineChars="0"/>
      </w:pPr>
      <w:r>
        <w:drawing>
          <wp:inline distT="0" distB="0" distL="114300" distR="114300">
            <wp:extent cx="5273040" cy="2014220"/>
            <wp:effectExtent l="0" t="0" r="10160" b="5080"/>
            <wp:docPr id="5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1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014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5273040" cy="1196340"/>
            <wp:effectExtent l="0" t="0" r="10160" b="10160"/>
            <wp:docPr id="52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24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19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pStyle w:val="10"/>
        <w:bidi w:val="0"/>
        <w:rPr>
          <w:rFonts w:hint="default"/>
          <w:lang w:val="en-US" w:eastAsia="zh-CN"/>
        </w:rPr>
      </w:pPr>
      <w:bookmarkStart w:id="33" w:name="_Toc1817"/>
      <w:bookmarkStart w:id="34" w:name="_Toc27810"/>
      <w:r>
        <w:rPr>
          <w:rFonts w:hint="eastAsia"/>
          <w:lang w:val="en-US" w:eastAsia="zh-CN"/>
        </w:rPr>
        <w:t>综合测评成绩计算</w:t>
      </w:r>
      <w:bookmarkEnd w:id="33"/>
      <w:r>
        <w:rPr>
          <w:rFonts w:hint="eastAsia"/>
          <w:lang w:val="en-US" w:eastAsia="zh-CN"/>
        </w:rPr>
        <w:t>（院系）</w:t>
      </w:r>
      <w:bookmarkEnd w:id="34"/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系部可计算本系综合测评成绩，根据实际需求，可选择年级、专业计算。也可不选择进行全院计算。</w:t>
      </w:r>
    </w:p>
    <w:p>
      <w:pPr>
        <w:pStyle w:val="2"/>
        <w:rPr>
          <w:rFonts w:hint="default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注意：如果学业成绩、评议分、加减分项任意一项发生的变化，都需要重新计算综合测评成绩。</w:t>
      </w:r>
    </w:p>
    <w:p>
      <w:pPr>
        <w:pStyle w:val="2"/>
        <w:rPr>
          <w:rFonts w:hint="default" w:eastAsia="微软雅黑"/>
          <w:lang w:val="en-US" w:eastAsia="zh-CN"/>
        </w:rPr>
      </w:pPr>
      <w:r>
        <w:drawing>
          <wp:inline distT="0" distB="0" distL="114300" distR="114300">
            <wp:extent cx="5260340" cy="2169160"/>
            <wp:effectExtent l="0" t="0" r="10160" b="2540"/>
            <wp:docPr id="50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14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169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0"/>
        <w:bidi w:val="0"/>
        <w:rPr>
          <w:rFonts w:hint="default"/>
          <w:lang w:val="en-US" w:eastAsia="zh-CN"/>
        </w:rPr>
      </w:pPr>
      <w:bookmarkStart w:id="35" w:name="_Toc30260"/>
      <w:r>
        <w:rPr>
          <w:rFonts w:hint="eastAsia"/>
          <w:lang w:val="en-US" w:eastAsia="zh-CN"/>
        </w:rPr>
        <w:t>综合测评成绩查询（学生处、院系、辅导员）</w:t>
      </w:r>
      <w:bookmarkEnd w:id="35"/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各层次都可查看学生综合测评成绩，可导出综测数据表格。</w:t>
      </w:r>
    </w:p>
    <w:p>
      <w:pPr>
        <w:pStyle w:val="2"/>
      </w:pPr>
      <w:r>
        <w:drawing>
          <wp:inline distT="0" distB="0" distL="114300" distR="114300">
            <wp:extent cx="5260340" cy="2001520"/>
            <wp:effectExtent l="0" t="0" r="10160" b="5080"/>
            <wp:docPr id="4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6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00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0"/>
        <w:bidi w:val="0"/>
        <w:rPr>
          <w:rFonts w:hint="eastAsia"/>
          <w:lang w:val="en-US" w:eastAsia="zh-CN"/>
        </w:rPr>
      </w:pPr>
      <w:bookmarkStart w:id="36" w:name="_Toc26578"/>
      <w:r>
        <w:rPr>
          <w:rFonts w:hint="eastAsia"/>
          <w:lang w:val="en-US" w:eastAsia="zh-CN"/>
        </w:rPr>
        <w:t>拟评奖学金名单生成（学院、辅导员）</w:t>
      </w:r>
      <w:bookmarkEnd w:id="36"/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学院、辅导员</w:t>
      </w:r>
      <w:r>
        <w:rPr>
          <w:rFonts w:hint="default"/>
          <w:lang w:val="en-US" w:eastAsia="zh-CN"/>
        </w:rPr>
        <w:t>可根据奖学金规则自动生成拟评名单</w:t>
      </w:r>
      <w:r>
        <w:rPr>
          <w:rFonts w:hint="eastAsia"/>
          <w:lang w:val="en-US" w:eastAsia="zh-CN"/>
        </w:rPr>
        <w:t>。并且可导出名单信息</w:t>
      </w:r>
    </w:p>
    <w:p>
      <w:pPr>
        <w:ind w:left="0" w:leftChars="0" w:firstLine="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70500" cy="2802890"/>
            <wp:effectExtent l="0" t="0" r="0" b="3810"/>
            <wp:docPr id="5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13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802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  <w:rPr>
          <w:rFonts w:hint="eastAsia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moder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80"/>
      </w:pPr>
      <w:r>
        <w:separator/>
      </w:r>
    </w:p>
  </w:footnote>
  <w:footnote w:type="continuationSeparator" w:id="1">
    <w:p>
      <w:pPr>
        <w:spacing w:line="360" w:lineRule="auto"/>
        <w:ind w:firstLine="48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B3A44BB"/>
    <w:multiLevelType w:val="multilevel"/>
    <w:tmpl w:val="1B3A44BB"/>
    <w:lvl w:ilvl="0" w:tentative="0">
      <w:start w:val="1"/>
      <w:numFmt w:val="chineseCounting"/>
      <w:pStyle w:val="9"/>
      <w:suff w:val="nothing"/>
      <w:lvlText w:val="第%1章 "/>
      <w:lvlJc w:val="left"/>
      <w:pPr>
        <w:ind w:left="432" w:hanging="432"/>
      </w:pPr>
      <w:rPr>
        <w:rFonts w:hint="eastAsia"/>
      </w:rPr>
    </w:lvl>
    <w:lvl w:ilvl="1" w:tentative="0">
      <w:start w:val="1"/>
      <w:numFmt w:val="decimal"/>
      <w:pStyle w:val="10"/>
      <w:isLgl/>
      <w:lvlText w:val="%1.%2."/>
      <w:lvlJc w:val="left"/>
      <w:pPr>
        <w:ind w:left="575" w:hanging="575"/>
      </w:pPr>
      <w:rPr>
        <w:rFonts w:hint="eastAsia"/>
      </w:rPr>
    </w:lvl>
    <w:lvl w:ilvl="2" w:tentative="0">
      <w:start w:val="1"/>
      <w:numFmt w:val="decimal"/>
      <w:pStyle w:val="11"/>
      <w:isLgl/>
      <w:lvlText w:val="%1.%2.%3."/>
      <w:lvlJc w:val="left"/>
      <w:pPr>
        <w:ind w:left="720" w:hanging="720"/>
      </w:pPr>
      <w:rPr>
        <w:rFonts w:hint="eastAsia"/>
      </w:rPr>
    </w:lvl>
    <w:lvl w:ilvl="3" w:tentative="0">
      <w:start w:val="1"/>
      <w:numFmt w:val="decimal"/>
      <w:pStyle w:val="12"/>
      <w:isLgl/>
      <w:lvlText w:val="%1.%2.%3.%4."/>
      <w:lvlJc w:val="left"/>
      <w:pPr>
        <w:ind w:left="864" w:hanging="864"/>
      </w:pPr>
      <w:rPr>
        <w:rFonts w:hint="eastAsia"/>
      </w:rPr>
    </w:lvl>
    <w:lvl w:ilvl="4" w:tentative="0">
      <w:start w:val="1"/>
      <w:numFmt w:val="decimal"/>
      <w:pStyle w:val="13"/>
      <w:isLgl/>
      <w:lvlText w:val="%1.%2.%3.%4.%5."/>
      <w:lvlJc w:val="left"/>
      <w:pPr>
        <w:ind w:left="1008" w:hanging="1008"/>
      </w:pPr>
      <w:rPr>
        <w:rFonts w:hint="eastAsia"/>
      </w:rPr>
    </w:lvl>
    <w:lvl w:ilvl="5" w:tentative="0">
      <w:start w:val="1"/>
      <w:numFmt w:val="decimal"/>
      <w:pStyle w:val="14"/>
      <w:isLgl/>
      <w:lvlText w:val="%1.%2.%3.%4.%5.%6."/>
      <w:lvlJc w:val="left"/>
      <w:pPr>
        <w:ind w:left="1151" w:hanging="1151"/>
      </w:pPr>
      <w:rPr>
        <w:rFonts w:hint="eastAsia"/>
      </w:rPr>
    </w:lvl>
    <w:lvl w:ilvl="6" w:tentative="0">
      <w:start w:val="1"/>
      <w:numFmt w:val="decimal"/>
      <w:pStyle w:val="15"/>
      <w:isLgl/>
      <w:lvlText w:val="%1.%2.%3.%4.%5.%6.%7."/>
      <w:lvlJc w:val="left"/>
      <w:pPr>
        <w:ind w:left="1296" w:hanging="1296"/>
      </w:pPr>
      <w:rPr>
        <w:rFonts w:hint="eastAsia"/>
      </w:rPr>
    </w:lvl>
    <w:lvl w:ilvl="7" w:tentative="0">
      <w:start w:val="1"/>
      <w:numFmt w:val="decimal"/>
      <w:pStyle w:val="16"/>
      <w:isLgl/>
      <w:lvlText w:val="%1.%2.%3.%4.%5.%6.%7.%8."/>
      <w:lvlJc w:val="left"/>
      <w:pPr>
        <w:ind w:left="1440" w:hanging="1440"/>
      </w:pPr>
      <w:rPr>
        <w:rFonts w:hint="eastAsia"/>
      </w:rPr>
    </w:lvl>
    <w:lvl w:ilvl="8" w:tentative="0">
      <w:start w:val="1"/>
      <w:numFmt w:val="decimal"/>
      <w:pStyle w:val="17"/>
      <w:isLgl/>
      <w:lvlText w:val="%1.%2.%3.%4.%5.%6.%7.%8.%9."/>
      <w:lvlJc w:val="left"/>
      <w:pPr>
        <w:ind w:left="1583" w:hanging="1583"/>
      </w:pPr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doNotDisplayPageBoundaries w:val="1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zJiMzAzZjI1MmQ3ZTkxNmU5MTI3NDI4ODdmOGI1YmYifQ=="/>
  </w:docVars>
  <w:rsids>
    <w:rsidRoot w:val="00000000"/>
    <w:rsid w:val="006911F9"/>
    <w:rsid w:val="00E363EC"/>
    <w:rsid w:val="019329D2"/>
    <w:rsid w:val="02463E8E"/>
    <w:rsid w:val="025F1FAE"/>
    <w:rsid w:val="02674703"/>
    <w:rsid w:val="027464D3"/>
    <w:rsid w:val="032A3000"/>
    <w:rsid w:val="03334D16"/>
    <w:rsid w:val="03CA2FB6"/>
    <w:rsid w:val="04551E9C"/>
    <w:rsid w:val="04D8694E"/>
    <w:rsid w:val="051E376F"/>
    <w:rsid w:val="05AA678F"/>
    <w:rsid w:val="063F2D3B"/>
    <w:rsid w:val="06A17990"/>
    <w:rsid w:val="06A54A54"/>
    <w:rsid w:val="06E3084F"/>
    <w:rsid w:val="06ED1368"/>
    <w:rsid w:val="07E8449E"/>
    <w:rsid w:val="07F140E6"/>
    <w:rsid w:val="08205752"/>
    <w:rsid w:val="08CC07C4"/>
    <w:rsid w:val="0942254F"/>
    <w:rsid w:val="09F9570D"/>
    <w:rsid w:val="0A803161"/>
    <w:rsid w:val="0AFB753E"/>
    <w:rsid w:val="0B131010"/>
    <w:rsid w:val="0B904FA2"/>
    <w:rsid w:val="0C1110C3"/>
    <w:rsid w:val="0C2106FD"/>
    <w:rsid w:val="0C4D5E73"/>
    <w:rsid w:val="0CE25280"/>
    <w:rsid w:val="0D1573EC"/>
    <w:rsid w:val="0D3B5EC1"/>
    <w:rsid w:val="0D7A67F4"/>
    <w:rsid w:val="0D947708"/>
    <w:rsid w:val="0DBE0DD6"/>
    <w:rsid w:val="0E175DA6"/>
    <w:rsid w:val="0EF061A4"/>
    <w:rsid w:val="0F2509E1"/>
    <w:rsid w:val="0FB8588A"/>
    <w:rsid w:val="0FB85A6A"/>
    <w:rsid w:val="0FB906FE"/>
    <w:rsid w:val="106E34D8"/>
    <w:rsid w:val="10FD39C4"/>
    <w:rsid w:val="123F4D19"/>
    <w:rsid w:val="125C471A"/>
    <w:rsid w:val="128E7EB8"/>
    <w:rsid w:val="13C1056E"/>
    <w:rsid w:val="13EB2D74"/>
    <w:rsid w:val="144B7C9B"/>
    <w:rsid w:val="147F49F8"/>
    <w:rsid w:val="14845A46"/>
    <w:rsid w:val="15027B4B"/>
    <w:rsid w:val="152B0833"/>
    <w:rsid w:val="1534197E"/>
    <w:rsid w:val="158610FB"/>
    <w:rsid w:val="15CA625F"/>
    <w:rsid w:val="16046CC8"/>
    <w:rsid w:val="17680005"/>
    <w:rsid w:val="17A414A4"/>
    <w:rsid w:val="17D26833"/>
    <w:rsid w:val="17F519A1"/>
    <w:rsid w:val="1821268E"/>
    <w:rsid w:val="1822376F"/>
    <w:rsid w:val="185E295B"/>
    <w:rsid w:val="186939D3"/>
    <w:rsid w:val="18B90B18"/>
    <w:rsid w:val="193E3960"/>
    <w:rsid w:val="19915D93"/>
    <w:rsid w:val="19CD414F"/>
    <w:rsid w:val="19F60948"/>
    <w:rsid w:val="1C473840"/>
    <w:rsid w:val="1CDD28FB"/>
    <w:rsid w:val="1DFB13A8"/>
    <w:rsid w:val="1E232E74"/>
    <w:rsid w:val="1EC028CD"/>
    <w:rsid w:val="1EDC4D23"/>
    <w:rsid w:val="1F5158D3"/>
    <w:rsid w:val="1F8452B0"/>
    <w:rsid w:val="1F9B00CA"/>
    <w:rsid w:val="20302A2B"/>
    <w:rsid w:val="2081265F"/>
    <w:rsid w:val="20991ACC"/>
    <w:rsid w:val="20C2153E"/>
    <w:rsid w:val="21033EEE"/>
    <w:rsid w:val="213E167D"/>
    <w:rsid w:val="215B0191"/>
    <w:rsid w:val="221625B6"/>
    <w:rsid w:val="227B5090"/>
    <w:rsid w:val="229B7BB8"/>
    <w:rsid w:val="2427572B"/>
    <w:rsid w:val="24391F1F"/>
    <w:rsid w:val="24C10110"/>
    <w:rsid w:val="24E108C2"/>
    <w:rsid w:val="24F11ADD"/>
    <w:rsid w:val="252C665C"/>
    <w:rsid w:val="2539209B"/>
    <w:rsid w:val="25B95ECD"/>
    <w:rsid w:val="25DE650D"/>
    <w:rsid w:val="25F969F8"/>
    <w:rsid w:val="260C2243"/>
    <w:rsid w:val="26502858"/>
    <w:rsid w:val="26C26CD0"/>
    <w:rsid w:val="27271343"/>
    <w:rsid w:val="27A40BE5"/>
    <w:rsid w:val="27EC10B2"/>
    <w:rsid w:val="281535D6"/>
    <w:rsid w:val="2879711E"/>
    <w:rsid w:val="2915010B"/>
    <w:rsid w:val="29312005"/>
    <w:rsid w:val="29A31ED7"/>
    <w:rsid w:val="2A2F5044"/>
    <w:rsid w:val="2A337C7F"/>
    <w:rsid w:val="2A5F37FC"/>
    <w:rsid w:val="2A9F0514"/>
    <w:rsid w:val="2B1134DD"/>
    <w:rsid w:val="2C0767D5"/>
    <w:rsid w:val="2C161986"/>
    <w:rsid w:val="2D4C0C9B"/>
    <w:rsid w:val="2EB20018"/>
    <w:rsid w:val="30875F1C"/>
    <w:rsid w:val="309C1A0D"/>
    <w:rsid w:val="30B43D6C"/>
    <w:rsid w:val="30D065A7"/>
    <w:rsid w:val="30D7066D"/>
    <w:rsid w:val="31516448"/>
    <w:rsid w:val="316C15B3"/>
    <w:rsid w:val="319000D0"/>
    <w:rsid w:val="32425283"/>
    <w:rsid w:val="32EC147A"/>
    <w:rsid w:val="33230498"/>
    <w:rsid w:val="33335F2D"/>
    <w:rsid w:val="336C6F69"/>
    <w:rsid w:val="342E619F"/>
    <w:rsid w:val="346428DD"/>
    <w:rsid w:val="34F21498"/>
    <w:rsid w:val="35BC70FA"/>
    <w:rsid w:val="35EF127D"/>
    <w:rsid w:val="363A6C02"/>
    <w:rsid w:val="37243E0C"/>
    <w:rsid w:val="37537733"/>
    <w:rsid w:val="386A6E78"/>
    <w:rsid w:val="38B3186E"/>
    <w:rsid w:val="39432480"/>
    <w:rsid w:val="39F65DAB"/>
    <w:rsid w:val="3A345DF9"/>
    <w:rsid w:val="3AFC5121"/>
    <w:rsid w:val="3B1C5C78"/>
    <w:rsid w:val="3BDA3773"/>
    <w:rsid w:val="3C4339B6"/>
    <w:rsid w:val="3C457D6E"/>
    <w:rsid w:val="3D163594"/>
    <w:rsid w:val="3E067AAC"/>
    <w:rsid w:val="3E295549"/>
    <w:rsid w:val="3E4203B8"/>
    <w:rsid w:val="3EAD1CD6"/>
    <w:rsid w:val="3FD339BE"/>
    <w:rsid w:val="400F2237"/>
    <w:rsid w:val="4036221B"/>
    <w:rsid w:val="409138FC"/>
    <w:rsid w:val="40D46EBB"/>
    <w:rsid w:val="414C7904"/>
    <w:rsid w:val="4218197D"/>
    <w:rsid w:val="4219449C"/>
    <w:rsid w:val="4224225E"/>
    <w:rsid w:val="430A77E3"/>
    <w:rsid w:val="438A0592"/>
    <w:rsid w:val="43963680"/>
    <w:rsid w:val="44EF5EC4"/>
    <w:rsid w:val="4710374A"/>
    <w:rsid w:val="47E30DD3"/>
    <w:rsid w:val="48351E04"/>
    <w:rsid w:val="4A625ABE"/>
    <w:rsid w:val="4A966046"/>
    <w:rsid w:val="4A9E3210"/>
    <w:rsid w:val="4AA448D5"/>
    <w:rsid w:val="4B76250B"/>
    <w:rsid w:val="4BF3326B"/>
    <w:rsid w:val="4BF62E58"/>
    <w:rsid w:val="4C6655B0"/>
    <w:rsid w:val="4CA3296A"/>
    <w:rsid w:val="4D0C49B3"/>
    <w:rsid w:val="4D1D096E"/>
    <w:rsid w:val="4D986C55"/>
    <w:rsid w:val="4E434B9D"/>
    <w:rsid w:val="4E5D3206"/>
    <w:rsid w:val="4E980F62"/>
    <w:rsid w:val="4EBB043F"/>
    <w:rsid w:val="4EF54110"/>
    <w:rsid w:val="4EF70D4B"/>
    <w:rsid w:val="4F3A6E5D"/>
    <w:rsid w:val="4FA47125"/>
    <w:rsid w:val="501A73E7"/>
    <w:rsid w:val="50C73947"/>
    <w:rsid w:val="50D774B3"/>
    <w:rsid w:val="51026F3B"/>
    <w:rsid w:val="5113199A"/>
    <w:rsid w:val="51BE41F3"/>
    <w:rsid w:val="51E67581"/>
    <w:rsid w:val="526037D7"/>
    <w:rsid w:val="52A511EA"/>
    <w:rsid w:val="52B34641"/>
    <w:rsid w:val="52C40D00"/>
    <w:rsid w:val="5358625C"/>
    <w:rsid w:val="535A0B2D"/>
    <w:rsid w:val="53C32263"/>
    <w:rsid w:val="53DD63C6"/>
    <w:rsid w:val="54703A7A"/>
    <w:rsid w:val="5470695E"/>
    <w:rsid w:val="54E13CA1"/>
    <w:rsid w:val="54F40906"/>
    <w:rsid w:val="551D22FE"/>
    <w:rsid w:val="554C1DF1"/>
    <w:rsid w:val="55F160FD"/>
    <w:rsid w:val="560070F2"/>
    <w:rsid w:val="568E11C4"/>
    <w:rsid w:val="56C367D4"/>
    <w:rsid w:val="570072A6"/>
    <w:rsid w:val="58247055"/>
    <w:rsid w:val="5827444F"/>
    <w:rsid w:val="587F428B"/>
    <w:rsid w:val="588607E4"/>
    <w:rsid w:val="58A93FD6"/>
    <w:rsid w:val="58F06C46"/>
    <w:rsid w:val="59BC506B"/>
    <w:rsid w:val="5A704BF8"/>
    <w:rsid w:val="5A816E5F"/>
    <w:rsid w:val="5A8366E1"/>
    <w:rsid w:val="5B0A7296"/>
    <w:rsid w:val="5BF16601"/>
    <w:rsid w:val="5C68510F"/>
    <w:rsid w:val="5D075EB9"/>
    <w:rsid w:val="5D1B5ABD"/>
    <w:rsid w:val="5D504038"/>
    <w:rsid w:val="5D6B2B0C"/>
    <w:rsid w:val="5E060BD8"/>
    <w:rsid w:val="5E0D18E4"/>
    <w:rsid w:val="5E7261FE"/>
    <w:rsid w:val="5EDD2ECD"/>
    <w:rsid w:val="5F1533A0"/>
    <w:rsid w:val="602F3765"/>
    <w:rsid w:val="609B6C9C"/>
    <w:rsid w:val="60CA5DB9"/>
    <w:rsid w:val="611C1755"/>
    <w:rsid w:val="615E14C9"/>
    <w:rsid w:val="61614741"/>
    <w:rsid w:val="61A903D1"/>
    <w:rsid w:val="61C852B9"/>
    <w:rsid w:val="61F4720A"/>
    <w:rsid w:val="6236796F"/>
    <w:rsid w:val="62407012"/>
    <w:rsid w:val="628801E0"/>
    <w:rsid w:val="62960734"/>
    <w:rsid w:val="62D90801"/>
    <w:rsid w:val="62F537BE"/>
    <w:rsid w:val="633C7E24"/>
    <w:rsid w:val="63485DE5"/>
    <w:rsid w:val="63BF2C7A"/>
    <w:rsid w:val="63CB2F6C"/>
    <w:rsid w:val="63CF5B8B"/>
    <w:rsid w:val="63F95C78"/>
    <w:rsid w:val="63FD0BB2"/>
    <w:rsid w:val="646903C9"/>
    <w:rsid w:val="650A5824"/>
    <w:rsid w:val="65440A49"/>
    <w:rsid w:val="65725E9D"/>
    <w:rsid w:val="66210B98"/>
    <w:rsid w:val="66E05E54"/>
    <w:rsid w:val="67346B89"/>
    <w:rsid w:val="684E2CED"/>
    <w:rsid w:val="687C4343"/>
    <w:rsid w:val="68A65864"/>
    <w:rsid w:val="68B65DEB"/>
    <w:rsid w:val="68F44821"/>
    <w:rsid w:val="6958090C"/>
    <w:rsid w:val="696E479C"/>
    <w:rsid w:val="69707267"/>
    <w:rsid w:val="69C73CE4"/>
    <w:rsid w:val="69DB2D7E"/>
    <w:rsid w:val="6A0E3E0F"/>
    <w:rsid w:val="6A355D0D"/>
    <w:rsid w:val="6ABA3FEF"/>
    <w:rsid w:val="6B0625EA"/>
    <w:rsid w:val="6B5E1443"/>
    <w:rsid w:val="6B766ECC"/>
    <w:rsid w:val="6B8328EB"/>
    <w:rsid w:val="6B98651E"/>
    <w:rsid w:val="6CB150E5"/>
    <w:rsid w:val="6CEF5D97"/>
    <w:rsid w:val="6D016CC4"/>
    <w:rsid w:val="6D181A98"/>
    <w:rsid w:val="6D936B06"/>
    <w:rsid w:val="6E041D52"/>
    <w:rsid w:val="6E2039C3"/>
    <w:rsid w:val="6E4F706E"/>
    <w:rsid w:val="6E6E708C"/>
    <w:rsid w:val="6F5B093D"/>
    <w:rsid w:val="6F9325D2"/>
    <w:rsid w:val="6FE97166"/>
    <w:rsid w:val="70F30D88"/>
    <w:rsid w:val="713752AB"/>
    <w:rsid w:val="7157616A"/>
    <w:rsid w:val="715A0694"/>
    <w:rsid w:val="717B24CE"/>
    <w:rsid w:val="71C24745"/>
    <w:rsid w:val="72DE08DD"/>
    <w:rsid w:val="732600A9"/>
    <w:rsid w:val="74240862"/>
    <w:rsid w:val="749D4B3B"/>
    <w:rsid w:val="74C76E7D"/>
    <w:rsid w:val="74F82A55"/>
    <w:rsid w:val="755C16A1"/>
    <w:rsid w:val="75BC435D"/>
    <w:rsid w:val="774B1AB0"/>
    <w:rsid w:val="787212BF"/>
    <w:rsid w:val="79393B8B"/>
    <w:rsid w:val="79464C7D"/>
    <w:rsid w:val="79A80566"/>
    <w:rsid w:val="7A775D26"/>
    <w:rsid w:val="7A9F0CB7"/>
    <w:rsid w:val="7AAA0672"/>
    <w:rsid w:val="7AC43A9E"/>
    <w:rsid w:val="7B891800"/>
    <w:rsid w:val="7C132493"/>
    <w:rsid w:val="7CE65DD7"/>
    <w:rsid w:val="7D851A94"/>
    <w:rsid w:val="7E6D1AF7"/>
    <w:rsid w:val="7ECF3AD0"/>
    <w:rsid w:val="7EED5B43"/>
    <w:rsid w:val="7F613A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qFormat="1"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qFormat="1" w:unhideWhenUsed="0" w:uiPriority="0" w:semiHidden="0" w:name="Date"/>
    <w:lsdException w:qFormat="1"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qFormat="1" w:uiPriority="99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autoRedefine/>
    <w:qFormat/>
    <w:uiPriority w:val="0"/>
    <w:pPr>
      <w:widowControl w:val="0"/>
      <w:adjustRightInd w:val="0"/>
      <w:snapToGrid w:val="0"/>
      <w:spacing w:line="360" w:lineRule="auto"/>
      <w:ind w:firstLine="1936" w:firstLineChars="200"/>
      <w:jc w:val="both"/>
    </w:pPr>
    <w:rPr>
      <w:rFonts w:ascii="Calibri" w:hAnsi="Calibri" w:eastAsia="微软雅黑" w:cs="Times New Roman"/>
      <w:kern w:val="2"/>
      <w:sz w:val="24"/>
      <w:szCs w:val="22"/>
      <w:lang w:val="en-US" w:eastAsia="zh-CN" w:bidi="ar-SA"/>
    </w:rPr>
  </w:style>
  <w:style w:type="paragraph" w:styleId="9">
    <w:name w:val="heading 1"/>
    <w:basedOn w:val="1"/>
    <w:next w:val="1"/>
    <w:autoRedefine/>
    <w:qFormat/>
    <w:uiPriority w:val="0"/>
    <w:pPr>
      <w:keepNext/>
      <w:keepLines/>
      <w:numPr>
        <w:ilvl w:val="0"/>
        <w:numId w:val="1"/>
      </w:numPr>
      <w:spacing w:before="340" w:beforeLines="0" w:beforeAutospacing="0" w:after="330" w:afterLines="0" w:afterAutospacing="0" w:line="240" w:lineRule="auto"/>
      <w:ind w:firstLine="0" w:firstLineChars="0"/>
      <w:outlineLvl w:val="0"/>
    </w:pPr>
    <w:rPr>
      <w:b/>
      <w:kern w:val="44"/>
      <w:sz w:val="32"/>
    </w:rPr>
  </w:style>
  <w:style w:type="paragraph" w:styleId="10">
    <w:name w:val="heading 2"/>
    <w:basedOn w:val="1"/>
    <w:next w:val="1"/>
    <w:autoRedefine/>
    <w:unhideWhenUsed/>
    <w:qFormat/>
    <w:uiPriority w:val="0"/>
    <w:pPr>
      <w:keepNext/>
      <w:keepLines/>
      <w:numPr>
        <w:ilvl w:val="1"/>
        <w:numId w:val="1"/>
      </w:numPr>
      <w:spacing w:before="260" w:beforeLines="0" w:beforeAutospacing="0" w:after="260" w:afterLines="0" w:afterAutospacing="0" w:line="240" w:lineRule="auto"/>
      <w:ind w:left="575" w:hanging="575" w:firstLineChars="0"/>
      <w:outlineLvl w:val="1"/>
    </w:pPr>
    <w:rPr>
      <w:rFonts w:ascii="Arial" w:hAnsi="Arial"/>
      <w:b/>
      <w:sz w:val="30"/>
    </w:rPr>
  </w:style>
  <w:style w:type="paragraph" w:styleId="11">
    <w:name w:val="heading 3"/>
    <w:basedOn w:val="1"/>
    <w:next w:val="1"/>
    <w:autoRedefine/>
    <w:unhideWhenUsed/>
    <w:qFormat/>
    <w:uiPriority w:val="0"/>
    <w:pPr>
      <w:keepNext/>
      <w:keepLines/>
      <w:numPr>
        <w:ilvl w:val="2"/>
        <w:numId w:val="1"/>
      </w:numPr>
      <w:adjustRightInd w:val="0"/>
      <w:snapToGrid w:val="0"/>
      <w:spacing w:line="240" w:lineRule="auto"/>
      <w:ind w:left="720" w:hanging="720" w:firstLineChars="0"/>
      <w:outlineLvl w:val="2"/>
    </w:pPr>
    <w:rPr>
      <w:b/>
      <w:sz w:val="28"/>
    </w:rPr>
  </w:style>
  <w:style w:type="paragraph" w:styleId="12">
    <w:name w:val="heading 4"/>
    <w:basedOn w:val="1"/>
    <w:next w:val="1"/>
    <w:autoRedefine/>
    <w:unhideWhenUsed/>
    <w:qFormat/>
    <w:uiPriority w:val="0"/>
    <w:pPr>
      <w:keepNext/>
      <w:keepLines/>
      <w:numPr>
        <w:ilvl w:val="3"/>
        <w:numId w:val="1"/>
      </w:numPr>
      <w:spacing w:before="280" w:after="290" w:line="376" w:lineRule="auto"/>
      <w:ind w:left="864" w:hanging="864" w:firstLineChars="0"/>
      <w:outlineLvl w:val="3"/>
    </w:pPr>
    <w:rPr>
      <w:rFonts w:ascii="Calibri Light" w:hAnsi="Calibri Light"/>
      <w:b/>
      <w:bCs/>
      <w:sz w:val="28"/>
      <w:szCs w:val="28"/>
    </w:rPr>
  </w:style>
  <w:style w:type="paragraph" w:styleId="13">
    <w:name w:val="heading 5"/>
    <w:basedOn w:val="1"/>
    <w:next w:val="1"/>
    <w:autoRedefine/>
    <w:semiHidden/>
    <w:unhideWhenUsed/>
    <w:qFormat/>
    <w:uiPriority w:val="0"/>
    <w:pPr>
      <w:keepNext/>
      <w:keepLines/>
      <w:numPr>
        <w:ilvl w:val="4"/>
        <w:numId w:val="1"/>
      </w:numPr>
      <w:spacing w:before="280" w:beforeLines="0" w:beforeAutospacing="0" w:after="290" w:afterLines="0" w:afterAutospacing="0" w:line="372" w:lineRule="auto"/>
      <w:ind w:left="1008" w:hanging="1008" w:firstLineChars="0"/>
      <w:outlineLvl w:val="4"/>
    </w:pPr>
    <w:rPr>
      <w:b/>
      <w:sz w:val="28"/>
    </w:rPr>
  </w:style>
  <w:style w:type="paragraph" w:styleId="14">
    <w:name w:val="heading 6"/>
    <w:basedOn w:val="1"/>
    <w:next w:val="1"/>
    <w:autoRedefine/>
    <w:semiHidden/>
    <w:unhideWhenUsed/>
    <w:qFormat/>
    <w:uiPriority w:val="0"/>
    <w:pPr>
      <w:keepNext/>
      <w:keepLines/>
      <w:numPr>
        <w:ilvl w:val="5"/>
        <w:numId w:val="1"/>
      </w:numPr>
      <w:spacing w:before="240" w:beforeLines="0" w:beforeAutospacing="0" w:after="64" w:afterLines="0" w:afterAutospacing="0" w:line="317" w:lineRule="auto"/>
      <w:ind w:left="1151" w:hanging="1151" w:firstLineChars="0"/>
      <w:outlineLvl w:val="5"/>
    </w:pPr>
    <w:rPr>
      <w:rFonts w:ascii="Arial" w:hAnsi="Arial" w:eastAsia="黑体"/>
      <w:b/>
      <w:sz w:val="24"/>
    </w:rPr>
  </w:style>
  <w:style w:type="paragraph" w:styleId="15">
    <w:name w:val="heading 7"/>
    <w:basedOn w:val="1"/>
    <w:next w:val="1"/>
    <w:autoRedefine/>
    <w:semiHidden/>
    <w:unhideWhenUsed/>
    <w:qFormat/>
    <w:uiPriority w:val="0"/>
    <w:pPr>
      <w:keepNext/>
      <w:keepLines/>
      <w:numPr>
        <w:ilvl w:val="6"/>
        <w:numId w:val="1"/>
      </w:numPr>
      <w:spacing w:before="240" w:beforeLines="0" w:beforeAutospacing="0" w:after="64" w:afterLines="0" w:afterAutospacing="0" w:line="317" w:lineRule="auto"/>
      <w:ind w:left="1296" w:hanging="1296" w:firstLineChars="0"/>
      <w:outlineLvl w:val="6"/>
    </w:pPr>
    <w:rPr>
      <w:b/>
      <w:sz w:val="24"/>
    </w:rPr>
  </w:style>
  <w:style w:type="paragraph" w:styleId="16">
    <w:name w:val="heading 8"/>
    <w:basedOn w:val="1"/>
    <w:next w:val="1"/>
    <w:autoRedefine/>
    <w:semiHidden/>
    <w:unhideWhenUsed/>
    <w:qFormat/>
    <w:uiPriority w:val="0"/>
    <w:pPr>
      <w:keepNext/>
      <w:keepLines/>
      <w:numPr>
        <w:ilvl w:val="7"/>
        <w:numId w:val="1"/>
      </w:numPr>
      <w:spacing w:before="240" w:beforeLines="0" w:beforeAutospacing="0" w:after="64" w:afterLines="0" w:afterAutospacing="0" w:line="317" w:lineRule="auto"/>
      <w:ind w:left="1440" w:hanging="1440" w:firstLineChars="0"/>
      <w:outlineLvl w:val="7"/>
    </w:pPr>
    <w:rPr>
      <w:rFonts w:ascii="Arial" w:hAnsi="Arial" w:eastAsia="黑体"/>
      <w:sz w:val="24"/>
    </w:rPr>
  </w:style>
  <w:style w:type="paragraph" w:styleId="17">
    <w:name w:val="heading 9"/>
    <w:basedOn w:val="1"/>
    <w:next w:val="1"/>
    <w:autoRedefine/>
    <w:semiHidden/>
    <w:unhideWhenUsed/>
    <w:qFormat/>
    <w:uiPriority w:val="0"/>
    <w:pPr>
      <w:keepNext/>
      <w:keepLines/>
      <w:numPr>
        <w:ilvl w:val="8"/>
        <w:numId w:val="1"/>
      </w:numPr>
      <w:spacing w:before="240" w:beforeLines="0" w:beforeAutospacing="0" w:after="64" w:afterLines="0" w:afterAutospacing="0" w:line="317" w:lineRule="auto"/>
      <w:ind w:left="1583" w:hanging="1583" w:firstLineChars="0"/>
      <w:outlineLvl w:val="8"/>
    </w:pPr>
    <w:rPr>
      <w:rFonts w:ascii="Arial" w:hAnsi="Arial" w:eastAsia="黑体"/>
      <w:sz w:val="21"/>
    </w:rPr>
  </w:style>
  <w:style w:type="character" w:default="1" w:styleId="23">
    <w:name w:val="Default Paragraph Font"/>
    <w:autoRedefine/>
    <w:semiHidden/>
    <w:qFormat/>
    <w:uiPriority w:val="0"/>
  </w:style>
  <w:style w:type="table" w:default="1" w:styleId="22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"/>
    <w:basedOn w:val="3"/>
    <w:next w:val="1"/>
    <w:autoRedefine/>
    <w:qFormat/>
    <w:uiPriority w:val="0"/>
    <w:pPr>
      <w:ind w:firstLine="420" w:firstLineChars="100"/>
    </w:pPr>
  </w:style>
  <w:style w:type="paragraph" w:styleId="3">
    <w:name w:val="Body Text"/>
    <w:basedOn w:val="1"/>
    <w:next w:val="4"/>
    <w:autoRedefine/>
    <w:qFormat/>
    <w:uiPriority w:val="0"/>
    <w:pPr>
      <w:spacing w:after="120" w:afterLines="0" w:afterAutospacing="0"/>
    </w:pPr>
  </w:style>
  <w:style w:type="paragraph" w:customStyle="1" w:styleId="4">
    <w:name w:val="Default"/>
    <w:next w:val="5"/>
    <w:autoRedefine/>
    <w:qFormat/>
    <w:uiPriority w:val="0"/>
    <w:pPr>
      <w:widowControl w:val="0"/>
      <w:autoSpaceDE w:val="0"/>
      <w:autoSpaceDN w:val="0"/>
      <w:adjustRightInd w:val="0"/>
    </w:pPr>
    <w:rPr>
      <w:rFonts w:ascii="宋体" w:hAnsi="Times New Roman" w:eastAsia="Times New Roman" w:cs="宋体"/>
      <w:color w:val="000000"/>
      <w:sz w:val="24"/>
      <w:szCs w:val="24"/>
      <w:lang w:val="en-US" w:eastAsia="zh-CN" w:bidi="ar-SA"/>
    </w:rPr>
  </w:style>
  <w:style w:type="paragraph" w:customStyle="1" w:styleId="5">
    <w:name w:val="Char Char10 Char Char Char Char"/>
    <w:basedOn w:val="1"/>
    <w:next w:val="6"/>
    <w:autoRedefine/>
    <w:qFormat/>
    <w:uiPriority w:val="0"/>
    <w:rPr>
      <w:rFonts w:ascii="Calibri" w:hAnsi="Calibri"/>
      <w:kern w:val="0"/>
    </w:rPr>
  </w:style>
  <w:style w:type="paragraph" w:customStyle="1" w:styleId="6">
    <w:name w:val="xl87"/>
    <w:basedOn w:val="1"/>
    <w:next w:val="7"/>
    <w:autoRedefine/>
    <w:qFormat/>
    <w:uiPriority w:val="0"/>
    <w:pPr>
      <w:widowControl/>
      <w:shd w:val="clear" w:color="FFFFFF" w:fill="FFFFFF"/>
      <w:spacing w:before="280" w:after="280"/>
      <w:jc w:val="right"/>
    </w:pPr>
    <w:rPr>
      <w:rFonts w:ascii="宋体" w:hAnsi="Calibri"/>
      <w:kern w:val="0"/>
      <w:sz w:val="24"/>
    </w:rPr>
  </w:style>
  <w:style w:type="paragraph" w:customStyle="1" w:styleId="7">
    <w:name w:val="xl72"/>
    <w:basedOn w:val="1"/>
    <w:next w:val="8"/>
    <w:autoRedefine/>
    <w:qFormat/>
    <w:uiPriority w:val="0"/>
    <w:pPr>
      <w:widowControl/>
      <w:shd w:val="clear" w:color="FFFFFF" w:fill="FFFFFF"/>
      <w:spacing w:before="280" w:after="280"/>
      <w:jc w:val="right"/>
    </w:pPr>
    <w:rPr>
      <w:rFonts w:ascii="宋体" w:hAnsi="Calibri"/>
      <w:kern w:val="0"/>
      <w:sz w:val="24"/>
    </w:rPr>
  </w:style>
  <w:style w:type="paragraph" w:styleId="8">
    <w:name w:val="Date"/>
    <w:basedOn w:val="1"/>
    <w:next w:val="1"/>
    <w:qFormat/>
    <w:uiPriority w:val="0"/>
    <w:pPr>
      <w:adjustRightInd w:val="0"/>
      <w:spacing w:line="360" w:lineRule="atLeast"/>
      <w:textAlignment w:val="baseline"/>
    </w:pPr>
    <w:rPr>
      <w:kern w:val="0"/>
    </w:rPr>
  </w:style>
  <w:style w:type="paragraph" w:styleId="18">
    <w:name w:val="toc 3"/>
    <w:basedOn w:val="1"/>
    <w:next w:val="1"/>
    <w:autoRedefine/>
    <w:qFormat/>
    <w:uiPriority w:val="0"/>
    <w:pPr>
      <w:ind w:left="840" w:leftChars="400"/>
    </w:pPr>
  </w:style>
  <w:style w:type="paragraph" w:styleId="19">
    <w:name w:val="toc 1"/>
    <w:basedOn w:val="1"/>
    <w:next w:val="1"/>
    <w:autoRedefine/>
    <w:qFormat/>
    <w:uiPriority w:val="0"/>
  </w:style>
  <w:style w:type="paragraph" w:styleId="20">
    <w:name w:val="toc 2"/>
    <w:basedOn w:val="1"/>
    <w:next w:val="1"/>
    <w:autoRedefine/>
    <w:qFormat/>
    <w:uiPriority w:val="0"/>
    <w:pPr>
      <w:ind w:left="420" w:leftChars="200"/>
    </w:pPr>
  </w:style>
  <w:style w:type="paragraph" w:styleId="21">
    <w:name w:val="Body Text 2"/>
    <w:basedOn w:val="1"/>
    <w:autoRedefine/>
    <w:unhideWhenUsed/>
    <w:qFormat/>
    <w:uiPriority w:val="99"/>
  </w:style>
  <w:style w:type="character" w:styleId="24">
    <w:name w:val="FollowedHyperlink"/>
    <w:basedOn w:val="23"/>
    <w:autoRedefine/>
    <w:qFormat/>
    <w:uiPriority w:val="0"/>
    <w:rPr>
      <w:color w:val="800080"/>
      <w:u w:val="single"/>
    </w:rPr>
  </w:style>
  <w:style w:type="character" w:styleId="25">
    <w:name w:val="Hyperlink"/>
    <w:basedOn w:val="23"/>
    <w:autoRedefine/>
    <w:qFormat/>
    <w:uiPriority w:val="0"/>
    <w:rPr>
      <w:color w:val="0000FF"/>
      <w:u w:val="single"/>
    </w:rPr>
  </w:style>
  <w:style w:type="paragraph" w:styleId="26">
    <w:name w:val="List Paragraph"/>
    <w:basedOn w:val="1"/>
    <w:autoRedefine/>
    <w:unhideWhenUsed/>
    <w:qFormat/>
    <w:uiPriority w:val="99"/>
    <w:pPr>
      <w:ind w:firstLine="42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2" Type="http://schemas.openxmlformats.org/officeDocument/2006/relationships/fontTable" Target="fontTable.xml"/><Relationship Id="rId41" Type="http://schemas.openxmlformats.org/officeDocument/2006/relationships/numbering" Target="numbering.xml"/><Relationship Id="rId40" Type="http://schemas.openxmlformats.org/officeDocument/2006/relationships/image" Target="media/image35.png"/><Relationship Id="rId4" Type="http://schemas.openxmlformats.org/officeDocument/2006/relationships/endnotes" Target="endnotes.xml"/><Relationship Id="rId39" Type="http://schemas.openxmlformats.org/officeDocument/2006/relationships/image" Target="media/image34.png"/><Relationship Id="rId38" Type="http://schemas.openxmlformats.org/officeDocument/2006/relationships/image" Target="media/image33.png"/><Relationship Id="rId37" Type="http://schemas.openxmlformats.org/officeDocument/2006/relationships/image" Target="media/image32.png"/><Relationship Id="rId36" Type="http://schemas.openxmlformats.org/officeDocument/2006/relationships/image" Target="media/image31.png"/><Relationship Id="rId35" Type="http://schemas.openxmlformats.org/officeDocument/2006/relationships/image" Target="media/image30.pn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footnotes" Target="footnotes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Office_12.1.0.16417_F1E327BC-269C-435d-A152-05C5408002CA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WPS_1568431337</cp:lastModifiedBy>
  <dcterms:modified xsi:type="dcterms:W3CDTF">2024-04-16T04:36:18Z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2052-12.1.0.16417</vt:lpwstr>
  </property>
  <property fmtid="{D5CDD505-2E9C-101B-9397-08002B2CF9AE}" pid="3" name="ICV">
    <vt:lpwstr>133732AE2215499E9AC4ECFD0BEA21DC_12</vt:lpwstr>
  </property>
</Properties>
</file>