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rFonts w:hint="eastAsia" w:ascii="微软雅黑" w:hAnsi="微软雅黑" w:eastAsia="微软雅黑" w:cs="微软雅黑"/>
          <w:b/>
          <w:bCs/>
          <w:spacing w:val="2"/>
          <w:sz w:val="52"/>
          <w:szCs w:val="52"/>
          <w:lang w:eastAsia="zh-CN"/>
        </w:rPr>
      </w:pPr>
    </w:p>
    <w:p>
      <w:pPr>
        <w:ind w:firstLine="0" w:firstLineChars="0"/>
        <w:jc w:val="center"/>
        <w:rPr>
          <w:rFonts w:hint="default" w:ascii="微软雅黑" w:hAnsi="微软雅黑" w:eastAsia="微软雅黑" w:cs="微软雅黑"/>
          <w:b/>
          <w:bCs/>
          <w:snapToGrid w:val="0"/>
          <w:color w:val="666699"/>
          <w:spacing w:val="40"/>
          <w:w w:val="80"/>
          <w:kern w:val="10"/>
          <w:sz w:val="52"/>
          <w:szCs w:val="52"/>
          <w:lang w:val="en-US"/>
        </w:rPr>
      </w:pPr>
      <w:r>
        <w:rPr>
          <w:rFonts w:hint="eastAsia" w:ascii="微软雅黑" w:hAnsi="微软雅黑" w:cs="微软雅黑"/>
          <w:b/>
          <w:bCs/>
          <w:spacing w:val="2"/>
          <w:sz w:val="52"/>
          <w:szCs w:val="52"/>
          <w:lang w:val="en-US" w:eastAsia="zh-CN"/>
        </w:rPr>
        <w:t>福州职业技术学院智慧学工</w:t>
      </w:r>
    </w:p>
    <w:p>
      <w:pPr>
        <w:ind w:firstLine="0" w:firstLineChars="0"/>
        <w:jc w:val="center"/>
        <w:rPr>
          <w:rFonts w:hint="eastAsia" w:ascii="微软雅黑" w:hAnsi="微软雅黑" w:eastAsia="微软雅黑" w:cs="微软雅黑"/>
          <w:b/>
          <w:bCs/>
          <w:spacing w:val="2"/>
          <w:sz w:val="52"/>
          <w:szCs w:val="52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spacing w:val="2"/>
          <w:sz w:val="52"/>
          <w:szCs w:val="52"/>
          <w:lang w:eastAsia="zh-CN"/>
        </w:rPr>
        <w:t>使用</w:t>
      </w:r>
      <w:r>
        <w:rPr>
          <w:rFonts w:hint="eastAsia" w:ascii="微软雅黑" w:hAnsi="微软雅黑" w:eastAsia="微软雅黑" w:cs="微软雅黑"/>
          <w:b/>
          <w:bCs/>
          <w:spacing w:val="2"/>
          <w:sz w:val="52"/>
          <w:szCs w:val="52"/>
        </w:rPr>
        <w:t>手册</w:t>
      </w:r>
      <w:r>
        <w:rPr>
          <w:rFonts w:hint="eastAsia" w:ascii="微软雅黑" w:hAnsi="微软雅黑" w:cs="微软雅黑"/>
          <w:b/>
          <w:bCs/>
          <w:spacing w:val="2"/>
          <w:sz w:val="52"/>
          <w:szCs w:val="52"/>
          <w:lang w:eastAsia="zh-CN"/>
        </w:rPr>
        <w:t>（</w:t>
      </w:r>
      <w:r>
        <w:rPr>
          <w:rFonts w:hint="eastAsia" w:ascii="微软雅黑" w:hAnsi="微软雅黑" w:cs="微软雅黑"/>
          <w:b/>
          <w:bCs/>
          <w:spacing w:val="2"/>
          <w:sz w:val="52"/>
          <w:szCs w:val="52"/>
          <w:lang w:val="en-US" w:eastAsia="zh-CN"/>
        </w:rPr>
        <w:t>评奖评优</w:t>
      </w:r>
      <w:r>
        <w:rPr>
          <w:rFonts w:hint="eastAsia" w:ascii="微软雅黑" w:hAnsi="微软雅黑" w:cs="微软雅黑"/>
          <w:b/>
          <w:bCs/>
          <w:spacing w:val="2"/>
          <w:sz w:val="52"/>
          <w:szCs w:val="52"/>
          <w:lang w:eastAsia="zh-CN"/>
        </w:rPr>
        <w:t>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right="-36" w:rightChars="-15" w:firstLine="900" w:firstLineChars="300"/>
        <w:jc w:val="left"/>
        <w:textAlignment w:val="auto"/>
        <w:outlineLvl w:val="9"/>
        <w:rPr>
          <w:rFonts w:hint="eastAsia" w:cs="宋体"/>
          <w:b/>
          <w:color w:val="000000"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right="-36" w:rightChars="-15" w:firstLine="900" w:firstLineChars="300"/>
        <w:jc w:val="left"/>
        <w:textAlignment w:val="auto"/>
        <w:outlineLvl w:val="9"/>
        <w:rPr>
          <w:rFonts w:hint="eastAsia" w:cs="宋体"/>
          <w:color w:val="000000"/>
          <w:sz w:val="30"/>
          <w:szCs w:val="30"/>
          <w:u w:val="single"/>
          <w:lang w:val="en-US" w:eastAsia="zh-CN"/>
        </w:rPr>
      </w:pPr>
      <w:r>
        <w:rPr>
          <w:rFonts w:hint="eastAsia" w:cs="宋体"/>
          <w:b/>
          <w:color w:val="000000"/>
          <w:sz w:val="30"/>
          <w:szCs w:val="30"/>
          <w:lang w:val="en-US" w:eastAsia="zh-CN"/>
        </w:rPr>
        <w:t>系统</w:t>
      </w:r>
      <w:r>
        <w:rPr>
          <w:rFonts w:cs="宋体"/>
          <w:b/>
          <w:color w:val="000000"/>
          <w:sz w:val="30"/>
          <w:szCs w:val="30"/>
        </w:rPr>
        <w:t>名称：</w:t>
      </w:r>
      <w:r>
        <w:rPr>
          <w:rFonts w:cs="宋体"/>
          <w:color w:val="000000"/>
          <w:sz w:val="30"/>
          <w:szCs w:val="30"/>
          <w:u w:val="single"/>
        </w:rPr>
        <w:t xml:space="preserve"> </w:t>
      </w:r>
      <w:r>
        <w:rPr>
          <w:rFonts w:hint="eastAsia" w:cs="宋体"/>
          <w:color w:val="000000"/>
          <w:sz w:val="30"/>
          <w:szCs w:val="30"/>
          <w:u w:val="single"/>
          <w:lang w:val="en-US" w:eastAsia="zh-CN"/>
        </w:rPr>
        <w:t xml:space="preserve">  福州职业技术学院智慧学工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right="-36" w:rightChars="-15" w:firstLine="900" w:firstLineChars="300"/>
        <w:jc w:val="left"/>
        <w:textAlignment w:val="auto"/>
        <w:outlineLvl w:val="9"/>
        <w:rPr>
          <w:rFonts w:hint="eastAsia" w:cs="宋体"/>
          <w:color w:val="000000"/>
          <w:sz w:val="30"/>
          <w:szCs w:val="30"/>
          <w:u w:val="single"/>
          <w:lang w:val="en-US" w:eastAsia="zh-CN"/>
        </w:rPr>
      </w:pPr>
      <w:r>
        <w:rPr>
          <w:rFonts w:hint="eastAsia" w:cs="宋体"/>
          <w:b/>
          <w:color w:val="000000"/>
          <w:sz w:val="30"/>
          <w:szCs w:val="30"/>
          <w:lang w:val="en-US" w:eastAsia="zh-CN"/>
        </w:rPr>
        <w:t>使用单位</w:t>
      </w:r>
      <w:r>
        <w:rPr>
          <w:rFonts w:cs="宋体"/>
          <w:b/>
          <w:color w:val="000000"/>
          <w:sz w:val="30"/>
          <w:szCs w:val="30"/>
        </w:rPr>
        <w:t>：</w:t>
      </w:r>
      <w:r>
        <w:rPr>
          <w:rFonts w:cs="宋体"/>
          <w:color w:val="000000"/>
          <w:sz w:val="30"/>
          <w:szCs w:val="30"/>
          <w:u w:val="single"/>
        </w:rPr>
        <w:t xml:space="preserve"> </w:t>
      </w:r>
      <w:r>
        <w:rPr>
          <w:rFonts w:hint="eastAsia" w:cs="宋体"/>
          <w:color w:val="000000"/>
          <w:sz w:val="30"/>
          <w:szCs w:val="30"/>
          <w:u w:val="single"/>
          <w:lang w:val="en-US" w:eastAsia="zh-CN"/>
        </w:rPr>
        <w:t xml:space="preserve">      福州职业技术学院       </w:t>
      </w:r>
      <w:r>
        <w:rPr>
          <w:rFonts w:cs="宋体"/>
          <w:color w:val="000000"/>
          <w:sz w:val="30"/>
          <w:szCs w:val="30"/>
          <w:u w:val="single"/>
        </w:rPr>
        <w:t xml:space="preserve">  </w:t>
      </w:r>
      <w:r>
        <w:rPr>
          <w:rFonts w:hint="eastAsia" w:cs="宋体"/>
          <w:color w:val="000000"/>
          <w:sz w:val="30"/>
          <w:szCs w:val="30"/>
          <w:u w:val="single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960" w:lineRule="auto"/>
        <w:ind w:right="-36" w:rightChars="-15" w:firstLine="900" w:firstLineChars="300"/>
        <w:jc w:val="left"/>
        <w:textAlignment w:val="auto"/>
        <w:outlineLvl w:val="9"/>
        <w:rPr>
          <w:rFonts w:hint="eastAsia" w:ascii="宋体" w:hAnsi="宋体"/>
          <w:sz w:val="52"/>
        </w:rPr>
      </w:pPr>
      <w:r>
        <w:rPr>
          <w:rFonts w:hint="eastAsia" w:cs="宋体"/>
          <w:b/>
          <w:color w:val="000000"/>
          <w:sz w:val="30"/>
          <w:szCs w:val="30"/>
          <w:lang w:val="en-US" w:eastAsia="zh-CN"/>
        </w:rPr>
        <w:t>软件开发</w:t>
      </w:r>
      <w:r>
        <w:rPr>
          <w:rFonts w:cs="宋体"/>
          <w:b/>
          <w:color w:val="000000"/>
          <w:sz w:val="30"/>
          <w:szCs w:val="30"/>
        </w:rPr>
        <w:t>：</w:t>
      </w:r>
      <w:r>
        <w:rPr>
          <w:rFonts w:cs="宋体"/>
          <w:color w:val="000000"/>
          <w:sz w:val="30"/>
          <w:szCs w:val="30"/>
          <w:u w:val="single"/>
        </w:rPr>
        <w:t xml:space="preserve">   </w:t>
      </w:r>
      <w:r>
        <w:rPr>
          <w:rFonts w:hint="eastAsia" w:cs="宋体"/>
          <w:color w:val="000000"/>
          <w:sz w:val="30"/>
          <w:szCs w:val="30"/>
          <w:u w:val="single"/>
          <w:lang w:val="en-US" w:eastAsia="zh-CN"/>
        </w:rPr>
        <w:t xml:space="preserve"> 四川众望升腾科技有限公司     </w:t>
      </w:r>
    </w:p>
    <w:p>
      <w:pPr>
        <w:ind w:left="0" w:leftChars="0" w:firstLine="0" w:firstLineChars="0"/>
        <w:jc w:val="both"/>
        <w:rPr>
          <w:rFonts w:hint="eastAsia" w:ascii="宋体" w:hAnsi="宋体"/>
          <w:sz w:val="52"/>
        </w:rPr>
      </w:pPr>
    </w:p>
    <w:p>
      <w:pPr>
        <w:spacing w:line="360" w:lineRule="auto"/>
        <w:jc w:val="both"/>
        <w:rPr>
          <w:rFonts w:hint="eastAsia" w:ascii="宋体" w:hAnsi="宋体"/>
          <w:b/>
          <w:lang w:val="en-US" w:eastAsia="zh-CN"/>
        </w:rPr>
      </w:pPr>
    </w:p>
    <w:p>
      <w:pPr>
        <w:spacing w:line="360" w:lineRule="auto"/>
        <w:jc w:val="center"/>
        <w:rPr>
          <w:rFonts w:hint="eastAsia" w:ascii="宋体" w:hAnsi="宋体" w:eastAsia="宋体"/>
          <w:b/>
          <w:lang w:val="en-US" w:eastAsia="zh-CN"/>
        </w:rPr>
      </w:pPr>
      <w:r>
        <w:rPr>
          <w:rFonts w:hint="eastAsia" w:ascii="宋体" w:hAnsi="宋体"/>
          <w:b/>
          <w:lang w:val="en-US" w:eastAsia="zh-CN"/>
        </w:rPr>
        <w:t>定制开发</w:t>
      </w:r>
    </w:p>
    <w:p>
      <w:pPr>
        <w:spacing w:line="360" w:lineRule="auto"/>
        <w:jc w:val="center"/>
        <w:rPr>
          <w:rFonts w:hint="eastAsia" w:ascii="宋体" w:hAnsi="宋体"/>
        </w:rPr>
      </w:pPr>
      <w:r>
        <w:rPr>
          <w:rFonts w:hint="eastAsia" w:ascii="宋体" w:hAnsi="宋体"/>
        </w:rPr>
        <w:t xml:space="preserve">审订日期 </w:t>
      </w:r>
      <w:r>
        <w:rPr>
          <w:rFonts w:hint="eastAsia" w:ascii="微软雅黑" w:hAnsi="微软雅黑" w:eastAsia="微软雅黑" w:cs="微软雅黑"/>
        </w:rPr>
        <w:t>20</w:t>
      </w:r>
      <w:r>
        <w:rPr>
          <w:rFonts w:hint="eastAsia" w:ascii="微软雅黑" w:hAnsi="微软雅黑" w:cs="微软雅黑"/>
          <w:lang w:val="en-US" w:eastAsia="zh-CN"/>
        </w:rPr>
        <w:t>24</w:t>
      </w:r>
      <w:r>
        <w:rPr>
          <w:rFonts w:hint="eastAsia" w:ascii="宋体" w:hAnsi="宋体"/>
        </w:rPr>
        <w:t>年</w:t>
      </w:r>
      <w:r>
        <w:rPr>
          <w:rFonts w:hint="eastAsia" w:ascii="宋体" w:hAnsi="宋体"/>
          <w:lang w:val="en-US" w:eastAsia="zh-CN"/>
        </w:rPr>
        <w:t>4</w:t>
      </w:r>
      <w:r>
        <w:rPr>
          <w:rFonts w:hint="eastAsia" w:ascii="宋体" w:hAnsi="宋体"/>
        </w:rPr>
        <w:t>月</w:t>
      </w:r>
    </w:p>
    <w:p/>
    <w:p/>
    <w:p/>
    <w:p/>
    <w:p/>
    <w:p/>
    <w:p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sdt>
      <w:sdtPr>
        <w:rPr>
          <w:rFonts w:ascii="宋体" w:hAnsi="宋体" w:eastAsia="宋体" w:cs="Times New Roman"/>
          <w:b w:val="0"/>
          <w:bCs w:val="0"/>
          <w:kern w:val="2"/>
          <w:sz w:val="32"/>
          <w:szCs w:val="32"/>
          <w:lang w:val="en-US" w:eastAsia="zh-CN" w:bidi="ar-SA"/>
        </w:rPr>
        <w:id w:val="147473980"/>
        <w:docPartObj>
          <w:docPartGallery w:val="Table of Contents"/>
          <w:docPartUnique/>
        </w:docPartObj>
      </w:sdtPr>
      <w:sdtEndPr>
        <w:rPr>
          <w:rFonts w:hint="eastAsia" w:ascii="Calibri" w:hAnsi="Calibri" w:eastAsia="微软雅黑" w:cs="Times New Roman"/>
          <w:b/>
          <w:bCs/>
          <w:kern w:val="44"/>
          <w:sz w:val="32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5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TOC \o "1-3" \h \u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_Toc4546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eastAsia="zh-CN"/>
            </w:rPr>
            <w:t xml:space="preserve">第一章 </w:t>
          </w:r>
          <w:r>
            <w:rPr>
              <w:rFonts w:hint="eastAsia"/>
              <w:lang w:val="en-US" w:eastAsia="zh-CN"/>
            </w:rPr>
            <w:t>操作步骤</w:t>
          </w:r>
          <w:r>
            <w:tab/>
          </w:r>
          <w:r>
            <w:fldChar w:fldCharType="begin"/>
          </w:r>
          <w:r>
            <w:instrText xml:space="preserve"> PAGEREF _Toc4546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_Toc25389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1.1. 准备工作（学生处操作）</w:t>
          </w:r>
          <w:r>
            <w:tab/>
          </w:r>
          <w:r>
            <w:fldChar w:fldCharType="begin"/>
          </w:r>
          <w:r>
            <w:instrText xml:space="preserve"> PAGEREF _Toc25389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_Toc26339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1.1.1. 奖项设置</w:t>
          </w:r>
          <w:r>
            <w:tab/>
          </w:r>
          <w:r>
            <w:fldChar w:fldCharType="begin"/>
          </w:r>
          <w:r>
            <w:instrText xml:space="preserve"> PAGEREF _Toc26339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_Toc29454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1.1.2. 奖项不可兼得设置</w:t>
          </w:r>
          <w:r>
            <w:tab/>
          </w:r>
          <w:r>
            <w:fldChar w:fldCharType="begin"/>
          </w:r>
          <w:r>
            <w:instrText xml:space="preserve"> PAGEREF _Toc29454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_Toc19220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 批次管理（学生处操作）</w:t>
          </w:r>
          <w:r>
            <w:tab/>
          </w:r>
          <w:r>
            <w:fldChar w:fldCharType="begin"/>
          </w:r>
          <w:r>
            <w:instrText xml:space="preserve"> PAGEREF _Toc19220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_Toc17950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 开启批次（学院操作）</w:t>
          </w:r>
          <w:r>
            <w:tab/>
          </w:r>
          <w:r>
            <w:fldChar w:fldCharType="begin"/>
          </w:r>
          <w:r>
            <w:instrText xml:space="preserve"> PAGEREF _Toc17950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_Toc8602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eastAsia="zh-CN"/>
            </w:rPr>
            <w:t xml:space="preserve">1.4. </w:t>
          </w:r>
          <w:r>
            <w:rPr>
              <w:rFonts w:hint="eastAsia"/>
              <w:lang w:val="en-US" w:eastAsia="zh-CN"/>
            </w:rPr>
            <w:t>学生申请（学生操作）</w:t>
          </w:r>
          <w:r>
            <w:tab/>
          </w:r>
          <w:r>
            <w:fldChar w:fldCharType="begin"/>
          </w:r>
          <w:r>
            <w:instrText xml:space="preserve"> PAGEREF _Toc8602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_Toc26505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 奖助优审批（辅导员审批）</w:t>
          </w:r>
          <w:r>
            <w:tab/>
          </w:r>
          <w:r>
            <w:fldChar w:fldCharType="begin"/>
          </w:r>
          <w:r>
            <w:instrText xml:space="preserve"> PAGEREF _Toc26505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_Toc4614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 奖助优审批（学院审批）</w:t>
          </w:r>
          <w:r>
            <w:tab/>
          </w:r>
          <w:r>
            <w:fldChar w:fldCharType="begin"/>
          </w:r>
          <w:r>
            <w:instrText xml:space="preserve"> PAGEREF _Toc4614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_Toc19813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1.7. 开启公示（学院公式）</w:t>
          </w:r>
          <w:r>
            <w:tab/>
          </w:r>
          <w:r>
            <w:fldChar w:fldCharType="begin"/>
          </w:r>
          <w:r>
            <w:instrText xml:space="preserve"> PAGEREF _Toc19813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_Toc7089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1.8. 提交学生处（学院操作）</w:t>
          </w:r>
          <w:r>
            <w:tab/>
          </w:r>
          <w:r>
            <w:fldChar w:fldCharType="begin"/>
          </w:r>
          <w:r>
            <w:instrText xml:space="preserve"> PAGEREF _Toc7089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_Toc23744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1.9. 奖助优审批（学生处审批）</w:t>
          </w:r>
          <w:r>
            <w:tab/>
          </w:r>
          <w:r>
            <w:fldChar w:fldCharType="begin"/>
          </w:r>
          <w:r>
            <w:instrText xml:space="preserve"> PAGEREF _Toc23744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_Toc20010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1.10. 查询</w:t>
          </w:r>
          <w:r>
            <w:tab/>
          </w:r>
          <w:r>
            <w:fldChar w:fldCharType="begin"/>
          </w:r>
          <w:r>
            <w:instrText xml:space="preserve"> PAGEREF _Toc20010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>
          <w:pPr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outlineLvl w:val="9"/>
            <w:rPr>
              <w:rFonts w:hint="eastAsia" w:ascii="Calibri" w:hAnsi="Calibri" w:eastAsia="微软雅黑" w:cs="Times New Roman"/>
              <w:b/>
              <w:kern w:val="44"/>
              <w:sz w:val="32"/>
              <w:szCs w:val="22"/>
              <w:lang w:val="en-US" w:eastAsia="zh-CN" w:bidi="ar-SA"/>
            </w:rPr>
          </w:pPr>
          <w:r>
            <w:rPr>
              <w:rFonts w:hint="eastAsia"/>
              <w:lang w:val="en-US" w:eastAsia="zh-CN"/>
            </w:rPr>
            <w:fldChar w:fldCharType="end"/>
          </w:r>
        </w:p>
      </w:sdtContent>
    </w:sdt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 w:ascii="Calibri" w:hAnsi="Calibri" w:eastAsia="微软雅黑" w:cs="Times New Roman"/>
          <w:b/>
          <w:kern w:val="44"/>
          <w:sz w:val="32"/>
          <w:szCs w:val="22"/>
          <w:lang w:val="en-US" w:eastAsia="zh-CN" w:bidi="ar-SA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 w:ascii="Calibri" w:hAnsi="Calibri" w:eastAsia="微软雅黑" w:cs="Times New Roman"/>
          <w:b/>
          <w:kern w:val="44"/>
          <w:sz w:val="32"/>
          <w:szCs w:val="22"/>
          <w:lang w:val="en-US" w:eastAsia="zh-CN" w:bidi="ar-SA"/>
        </w:rPr>
      </w:pP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/>
          <w:lang w:val="en-US" w:eastAsia="zh-CN"/>
        </w:rPr>
      </w:pPr>
    </w:p>
    <w:p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9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rPr>
          <w:rFonts w:hint="eastAsia"/>
          <w:b/>
          <w:bCs/>
          <w:color w:val="FF0000"/>
          <w:sz w:val="36"/>
          <w:szCs w:val="36"/>
          <w:lang w:val="en-US" w:eastAsia="zh-CN"/>
        </w:rPr>
        <w:t>说明：</w:t>
      </w:r>
    </w:p>
    <w:p>
      <w:pPr>
        <w:pStyle w:val="2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由于三好学生与优秀学生干部系统没有拟评名单，所有目前需要拟评名单的学生请联系技术（群内@764178801即可）提供。</w:t>
      </w:r>
      <w:bookmarkStart w:id="27" w:name="_GoBack"/>
      <w:bookmarkEnd w:id="27"/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三好学生获取规则：综合素质测评总分本班级排名前10% 可参与，可参与人数为班级人数4%，并且需符合体侧成绩合同及以上、无违纪、课程成绩无不及格等条件，按班级综测成绩优先排</w:t>
      </w:r>
    </w:p>
    <w:p>
      <w:pPr>
        <w:pStyle w:val="2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 xml:space="preserve">  优秀学生干部获取规则：综合素质测评总分本班级排名前20％可参与，并且需符合体侧成绩合同及以上、无违纪、课程成绩无不及格等条件，由于干部需要评选，技术只提供符合上述条件名单，具体通过由学生申请后辅导员审批确认。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总体流程图如下：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245225" cy="3346450"/>
            <wp:effectExtent l="0" t="0" r="3175" b="635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45225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eastAsia"/>
          <w:lang w:eastAsia="zh-CN"/>
        </w:rPr>
      </w:pPr>
      <w:bookmarkStart w:id="0" w:name="_Toc4546"/>
      <w:r>
        <w:rPr>
          <w:rFonts w:hint="eastAsia"/>
          <w:lang w:val="en-US" w:eastAsia="zh-CN"/>
        </w:rPr>
        <w:t>操作步骤</w:t>
      </w:r>
      <w:bookmarkEnd w:id="0"/>
    </w:p>
    <w:p>
      <w:pPr>
        <w:pStyle w:val="6"/>
        <w:bidi w:val="0"/>
        <w:rPr>
          <w:rFonts w:hint="default"/>
          <w:lang w:val="en-US" w:eastAsia="zh-CN"/>
        </w:rPr>
      </w:pPr>
      <w:bookmarkStart w:id="1" w:name="_Toc11280"/>
      <w:bookmarkStart w:id="2" w:name="_Toc25389"/>
      <w:r>
        <w:rPr>
          <w:rFonts w:hint="eastAsia"/>
          <w:lang w:val="en-US" w:eastAsia="zh-CN"/>
        </w:rPr>
        <w:t>准备工作</w:t>
      </w:r>
      <w:bookmarkEnd w:id="1"/>
      <w:r>
        <w:rPr>
          <w:rFonts w:hint="eastAsia"/>
          <w:lang w:val="en-US" w:eastAsia="zh-CN"/>
        </w:rPr>
        <w:t>（学生处操作）</w:t>
      </w:r>
      <w:bookmarkEnd w:id="2"/>
    </w:p>
    <w:p>
      <w:pPr>
        <w:pStyle w:val="7"/>
        <w:bidi w:val="0"/>
        <w:rPr>
          <w:rFonts w:hint="default"/>
          <w:lang w:val="en-US" w:eastAsia="zh-CN"/>
        </w:rPr>
      </w:pPr>
      <w:bookmarkStart w:id="3" w:name="_Toc26339"/>
      <w:bookmarkStart w:id="4" w:name="_Toc25065"/>
      <w:r>
        <w:rPr>
          <w:rFonts w:hint="eastAsia"/>
          <w:lang w:val="en-US" w:eastAsia="zh-CN"/>
        </w:rPr>
        <w:t>奖项设置</w:t>
      </w:r>
      <w:bookmarkEnd w:id="3"/>
      <w:bookmarkEnd w:id="4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评奖工作开始前须设置奖项。</w:t>
      </w:r>
    </w:p>
    <w:p>
      <w:r>
        <w:drawing>
          <wp:inline distT="0" distB="0" distL="114300" distR="114300">
            <wp:extent cx="5263515" cy="2202180"/>
            <wp:effectExtent l="0" t="0" r="6985" b="762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对设置奖项部分信息做以下说明：</w:t>
      </w:r>
    </w:p>
    <w:p>
      <w:pPr>
        <w:bidi w:val="0"/>
        <w:spacing w:line="360" w:lineRule="auto"/>
        <w:ind w:firstLine="420" w:firstLineChars="0"/>
        <w:rPr>
          <w:rFonts w:hint="eastAsia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  <w:t>页面信息：</w:t>
      </w:r>
      <w:r>
        <w:rPr>
          <w:rFonts w:hint="eastAsia" w:ascii="微软雅黑" w:hAnsi="微软雅黑" w:eastAsia="微软雅黑" w:cs="微软雅黑"/>
          <w:lang w:val="en-US" w:eastAsia="zh-CN"/>
        </w:rPr>
        <w:t>用于指定学生申请页面需要的信息。勾选的信息会</w:t>
      </w:r>
      <w:r>
        <w:rPr>
          <w:rFonts w:hint="eastAsia" w:ascii="微软雅黑" w:hAnsi="微软雅黑" w:cs="微软雅黑"/>
          <w:lang w:val="en-US" w:eastAsia="zh-CN"/>
        </w:rPr>
        <w:t>展示</w:t>
      </w:r>
      <w:r>
        <w:rPr>
          <w:rFonts w:hint="eastAsia" w:ascii="微软雅黑" w:hAnsi="微软雅黑" w:eastAsia="微软雅黑" w:cs="微软雅黑"/>
          <w:lang w:val="en-US" w:eastAsia="zh-CN"/>
        </w:rPr>
        <w:t>在学生申请页面，没有勾选的学生申请页面不会</w:t>
      </w:r>
      <w:r>
        <w:rPr>
          <w:rFonts w:hint="eastAsia" w:ascii="微软雅黑" w:hAnsi="微软雅黑" w:cs="微软雅黑"/>
          <w:lang w:val="en-US" w:eastAsia="zh-CN"/>
        </w:rPr>
        <w:t>展示</w:t>
      </w:r>
      <w:r>
        <w:rPr>
          <w:rFonts w:hint="eastAsia" w:ascii="微软雅黑" w:hAnsi="微软雅黑" w:eastAsia="微软雅黑" w:cs="微软雅黑"/>
          <w:lang w:val="en-US" w:eastAsia="zh-CN"/>
        </w:rPr>
        <w:t>。</w:t>
      </w:r>
    </w:p>
    <w:p>
      <w:pPr>
        <w:bidi w:val="0"/>
        <w:spacing w:line="360" w:lineRule="auto"/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  <w:t>总金额限制：</w:t>
      </w:r>
      <w:r>
        <w:rPr>
          <w:rFonts w:hint="eastAsia" w:ascii="微软雅黑" w:hAnsi="微软雅黑" w:eastAsia="微软雅黑" w:cs="微软雅黑"/>
          <w:lang w:val="en-US" w:eastAsia="zh-CN"/>
        </w:rPr>
        <w:t>用于学校限制单个学生一学年最多能拿多少奖金。必须指定限制总金额，并且在每一个参与总金额限制的奖项下勾选“学生学年申请总金额限制”。学生申请了参与总金额限制的奖项，系统会自动判断学生当前是否还能继续申请奖项。</w:t>
      </w:r>
    </w:p>
    <w:p>
      <w:pPr>
        <w:pStyle w:val="2"/>
        <w:spacing w:line="360" w:lineRule="auto"/>
        <w:ind w:left="0" w:leftChars="0" w:firstLine="420" w:firstLineChars="0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1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4"/>
          <w:lang w:val="en-US" w:eastAsia="zh-CN" w:bidi="ar-SA"/>
        </w:rPr>
        <w:t>学生基本信息库选择：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1"/>
          <w:szCs w:val="24"/>
          <w:lang w:val="en-US" w:eastAsia="zh-CN" w:bidi="ar-SA"/>
        </w:rPr>
        <w:t>如果选择的当前库，学生的申请数据由当前库老师进行</w:t>
      </w:r>
      <w:r>
        <w:rPr>
          <w:rFonts w:hint="eastAsia" w:ascii="微软雅黑" w:hAnsi="微软雅黑" w:cs="微软雅黑"/>
          <w:b w:val="0"/>
          <w:bCs w:val="0"/>
          <w:color w:val="auto"/>
          <w:kern w:val="2"/>
          <w:sz w:val="21"/>
          <w:szCs w:val="24"/>
          <w:lang w:val="en-US" w:eastAsia="zh-CN" w:bidi="ar-SA"/>
        </w:rPr>
        <w:t>审批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1"/>
          <w:szCs w:val="24"/>
          <w:lang w:val="en-US" w:eastAsia="zh-CN" w:bidi="ar-SA"/>
        </w:rPr>
        <w:t>；如果选择的历史库，就根据批次中设置的备份库学期老师进行</w:t>
      </w:r>
      <w:r>
        <w:rPr>
          <w:rFonts w:hint="eastAsia" w:ascii="微软雅黑" w:hAnsi="微软雅黑" w:cs="微软雅黑"/>
          <w:b w:val="0"/>
          <w:bCs w:val="0"/>
          <w:color w:val="auto"/>
          <w:kern w:val="2"/>
          <w:sz w:val="21"/>
          <w:szCs w:val="24"/>
          <w:lang w:val="en-US" w:eastAsia="zh-CN" w:bidi="ar-SA"/>
        </w:rPr>
        <w:t>审批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1"/>
          <w:szCs w:val="24"/>
          <w:lang w:val="en-US" w:eastAsia="zh-CN" w:bidi="ar-SA"/>
        </w:rPr>
        <w:t>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4"/>
          <w:lang w:val="en-US" w:eastAsia="zh-CN" w:bidi="ar-SA"/>
        </w:rPr>
        <w:t>申请条件：</w:t>
      </w:r>
      <w:r>
        <w:rPr>
          <w:rFonts w:hint="eastAsia" w:ascii="微软雅黑" w:hAnsi="微软雅黑" w:cs="微软雅黑"/>
          <w:b w:val="0"/>
          <w:bCs w:val="0"/>
          <w:color w:val="auto"/>
          <w:kern w:val="2"/>
          <w:sz w:val="21"/>
          <w:szCs w:val="24"/>
          <w:lang w:val="en-US" w:eastAsia="zh-CN" w:bidi="ar-SA"/>
        </w:rPr>
        <w:t>当前奖项限制学生申请的条件，勾选并设置保存后生效，不满足条件的学生无法提交申请。</w:t>
      </w:r>
    </w:p>
    <w:p>
      <w:pPr>
        <w:pStyle w:val="7"/>
        <w:bidi w:val="0"/>
        <w:rPr>
          <w:rFonts w:hint="default"/>
          <w:lang w:val="en-US" w:eastAsia="zh-CN"/>
        </w:rPr>
      </w:pPr>
      <w:bookmarkStart w:id="5" w:name="_Toc29454"/>
      <w:bookmarkStart w:id="6" w:name="_Toc5876"/>
      <w:r>
        <w:rPr>
          <w:rFonts w:hint="eastAsia"/>
          <w:lang w:val="en-US" w:eastAsia="zh-CN"/>
        </w:rPr>
        <w:t>奖项不可兼得设置</w:t>
      </w:r>
      <w:bookmarkEnd w:id="5"/>
      <w:bookmarkEnd w:id="6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学生不可同时申请、教师不可同时审批通过同一学生同一学年不可兼得的多个奖项。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1781810"/>
            <wp:effectExtent l="0" t="0" r="10795" b="889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bidi w:val="0"/>
        <w:rPr>
          <w:rFonts w:hint="default"/>
          <w:lang w:val="en-US" w:eastAsia="zh-CN"/>
        </w:rPr>
      </w:pPr>
      <w:bookmarkStart w:id="7" w:name="_Toc24188"/>
      <w:bookmarkStart w:id="8" w:name="_Toc19220"/>
      <w:r>
        <w:rPr>
          <w:rFonts w:hint="eastAsia"/>
          <w:lang w:val="en-US" w:eastAsia="zh-CN"/>
        </w:rPr>
        <w:t>批次管理</w:t>
      </w:r>
      <w:bookmarkEnd w:id="7"/>
      <w:r>
        <w:rPr>
          <w:rFonts w:hint="eastAsia"/>
          <w:lang w:val="en-US" w:eastAsia="zh-CN"/>
        </w:rPr>
        <w:t>（学生处操作）</w:t>
      </w:r>
      <w:bookmarkEnd w:id="8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学生处设置名额并开启批次后学院才可见该批次。</w:t>
      </w:r>
    </w:p>
    <w:p>
      <w:r>
        <w:drawing>
          <wp:inline distT="0" distB="0" distL="114300" distR="114300">
            <wp:extent cx="5268595" cy="1146175"/>
            <wp:effectExtent l="0" t="0" r="1905" b="952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设置名额操作见下图。</w:t>
      </w:r>
    </w:p>
    <w:p>
      <w:pPr>
        <w:bidi w:val="0"/>
      </w:pPr>
      <w:r>
        <w:drawing>
          <wp:inline distT="0" distB="0" distL="114300" distR="114300">
            <wp:extent cx="5273675" cy="1779905"/>
            <wp:effectExtent l="0" t="0" r="9525" b="1079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对批次页面部分信息做以下说明：</w:t>
      </w:r>
    </w:p>
    <w:p>
      <w:pPr>
        <w:bidi w:val="0"/>
        <w:spacing w:line="360" w:lineRule="auto"/>
        <w:ind w:firstLine="420" w:firstLineChars="0"/>
        <w:rPr>
          <w:rFonts w:hint="eastAsia" w:ascii="微软雅黑" w:hAnsi="微软雅黑" w:eastAsia="微软雅黑" w:cs="微软雅黑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4"/>
          <w:lang w:val="en-US" w:eastAsia="zh-CN" w:bidi="ar-SA"/>
        </w:rPr>
        <w:t>适用对象：</w:t>
      </w:r>
      <w:r>
        <w:rPr>
          <w:rFonts w:hint="eastAsia" w:ascii="微软雅黑" w:hAnsi="微软雅黑" w:eastAsia="微软雅黑" w:cs="微软雅黑"/>
          <w:highlight w:val="none"/>
          <w:lang w:val="en-US" w:eastAsia="zh-CN"/>
        </w:rPr>
        <w:t>勾选的学生才能申请该批次奖项</w:t>
      </w:r>
      <w:r>
        <w:rPr>
          <w:rFonts w:hint="eastAsia" w:ascii="微软雅黑" w:hAnsi="微软雅黑" w:cs="微软雅黑"/>
          <w:highlight w:val="none"/>
          <w:lang w:val="en-US" w:eastAsia="zh-CN"/>
        </w:rPr>
        <w:t>。</w:t>
      </w:r>
    </w:p>
    <w:p>
      <w:pPr>
        <w:bidi w:val="0"/>
        <w:spacing w:line="360" w:lineRule="auto"/>
        <w:ind w:firstLine="420" w:firstLineChars="0"/>
        <w:rPr>
          <w:rFonts w:hint="default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4"/>
          <w:lang w:val="en-US" w:eastAsia="zh-CN" w:bidi="ar-SA"/>
        </w:rPr>
        <w:t>年级限制：</w:t>
      </w: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勾选年级的学生才能申请该批次奖项</w:t>
      </w:r>
      <w:r>
        <w:rPr>
          <w:rFonts w:hint="eastAsia" w:ascii="微软雅黑" w:hAnsi="微软雅黑" w:cs="微软雅黑"/>
          <w:b w:val="0"/>
          <w:bCs w:val="0"/>
          <w:lang w:val="en-US" w:eastAsia="zh-CN"/>
        </w:rPr>
        <w:t>。</w:t>
      </w:r>
    </w:p>
    <w:p>
      <w:pPr>
        <w:bidi w:val="0"/>
        <w:spacing w:line="360" w:lineRule="auto"/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4"/>
          <w:lang w:val="en-US" w:eastAsia="zh-CN" w:bidi="ar-SA"/>
        </w:rPr>
        <w:t>批次时间：</w:t>
      </w:r>
      <w:r>
        <w:rPr>
          <w:rFonts w:hint="eastAsia" w:ascii="微软雅黑" w:hAnsi="微软雅黑" w:eastAsia="微软雅黑" w:cs="微软雅黑"/>
          <w:lang w:val="en-US" w:eastAsia="zh-CN"/>
        </w:rPr>
        <w:t>学生处设置的批次起始时间，</w:t>
      </w:r>
      <w:r>
        <w:rPr>
          <w:rFonts w:hint="eastAsia" w:ascii="微软雅黑" w:hAnsi="微软雅黑" w:cs="微软雅黑"/>
          <w:lang w:val="en-US" w:eastAsia="zh-CN"/>
        </w:rPr>
        <w:t>学院</w:t>
      </w:r>
      <w:r>
        <w:rPr>
          <w:rFonts w:hint="eastAsia" w:ascii="微软雅黑" w:hAnsi="微软雅黑" w:eastAsia="微软雅黑" w:cs="微软雅黑"/>
          <w:lang w:val="en-US" w:eastAsia="zh-CN"/>
        </w:rPr>
        <w:t>设置批次时间只能在学生处设置的时间段内，学生在</w:t>
      </w:r>
      <w:r>
        <w:rPr>
          <w:rFonts w:hint="eastAsia" w:ascii="微软雅黑" w:hAnsi="微软雅黑" w:cs="微软雅黑"/>
          <w:lang w:val="en-US" w:eastAsia="zh-CN"/>
        </w:rPr>
        <w:t>学院</w:t>
      </w:r>
      <w:r>
        <w:rPr>
          <w:rFonts w:hint="eastAsia" w:ascii="微软雅黑" w:hAnsi="微软雅黑" w:eastAsia="微软雅黑" w:cs="微软雅黑"/>
          <w:lang w:val="en-US" w:eastAsia="zh-CN"/>
        </w:rPr>
        <w:t>设置的批次时间段内才能申请该批次奖项</w:t>
      </w:r>
      <w:r>
        <w:rPr>
          <w:rFonts w:hint="eastAsia" w:ascii="微软雅黑" w:hAnsi="微软雅黑" w:cs="微软雅黑"/>
          <w:lang w:val="en-US" w:eastAsia="zh-CN"/>
        </w:rPr>
        <w:t>。</w:t>
      </w:r>
    </w:p>
    <w:p>
      <w:pPr>
        <w:bidi w:val="0"/>
        <w:spacing w:line="360" w:lineRule="auto"/>
        <w:ind w:firstLine="420" w:firstLineChars="0"/>
        <w:rPr>
          <w:rFonts w:hint="eastAsia" w:ascii="微软雅黑" w:hAnsi="微软雅黑" w:eastAsia="微软雅黑" w:cs="微软雅黑"/>
          <w:b/>
          <w:bCs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4"/>
          <w:lang w:val="en-US" w:eastAsia="zh-CN" w:bidi="ar-SA"/>
        </w:rPr>
        <w:t>学年成绩：</w:t>
      </w: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申请条件中，涉及到成绩的学年，都通过该批次内设置的成绩学年</w:t>
      </w:r>
      <w:r>
        <w:rPr>
          <w:rFonts w:hint="eastAsia" w:ascii="微软雅黑" w:hAnsi="微软雅黑" w:cs="微软雅黑"/>
          <w:b w:val="0"/>
          <w:bCs w:val="0"/>
          <w:lang w:val="en-US" w:eastAsia="zh-CN"/>
        </w:rPr>
        <w:t>。</w:t>
      </w:r>
    </w:p>
    <w:p>
      <w:pPr>
        <w:bidi w:val="0"/>
        <w:spacing w:line="360" w:lineRule="auto"/>
        <w:ind w:firstLine="420" w:firstLineChars="0"/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4"/>
          <w:lang w:val="en-US" w:eastAsia="zh-CN" w:bidi="ar-SA"/>
        </w:rPr>
        <w:t>使用备份库学期：</w:t>
      </w: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选择使用哪个学期的学生备份库，使用历史库的奖项，审批的时候使用备份库数据（在学生信息管理的学生信息备份管理模块可以查看学籍备份数据）</w:t>
      </w:r>
      <w:r>
        <w:rPr>
          <w:rFonts w:hint="eastAsia" w:ascii="微软雅黑" w:hAnsi="微软雅黑" w:cs="微软雅黑"/>
          <w:b w:val="0"/>
          <w:bCs w:val="0"/>
          <w:lang w:val="en-US" w:eastAsia="zh-CN"/>
        </w:rPr>
        <w:t>。</w:t>
      </w:r>
    </w:p>
    <w:p>
      <w:pPr>
        <w:pStyle w:val="6"/>
        <w:bidi w:val="0"/>
        <w:rPr>
          <w:rFonts w:hint="default"/>
          <w:lang w:val="en-US" w:eastAsia="zh-CN"/>
        </w:rPr>
      </w:pPr>
      <w:bookmarkStart w:id="9" w:name="_Toc4802"/>
      <w:bookmarkStart w:id="10" w:name="_Toc7140"/>
      <w:bookmarkStart w:id="11" w:name="_Toc17950"/>
      <w:bookmarkStart w:id="12" w:name="_Toc21659"/>
      <w:r>
        <w:rPr>
          <w:rFonts w:hint="eastAsia"/>
          <w:lang w:val="en-US" w:eastAsia="zh-CN"/>
        </w:rPr>
        <w:t>开启批次</w:t>
      </w:r>
      <w:bookmarkEnd w:id="9"/>
      <w:bookmarkEnd w:id="10"/>
      <w:r>
        <w:rPr>
          <w:rFonts w:hint="eastAsia"/>
          <w:lang w:val="en-US" w:eastAsia="zh-CN"/>
        </w:rPr>
        <w:t>（学院操作）</w:t>
      </w:r>
      <w:bookmarkEnd w:id="11"/>
    </w:p>
    <w:p>
      <w:pPr>
        <w:ind w:firstLine="420" w:firstLineChars="0"/>
        <w:rPr>
          <w:rFonts w:hint="eastAsia" w:ascii="微软雅黑" w:hAnsi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学生处设置好名额后开启批次，</w:t>
      </w:r>
      <w:r>
        <w:rPr>
          <w:rFonts w:hint="eastAsia" w:ascii="微软雅黑" w:hAnsi="微软雅黑" w:cs="微软雅黑"/>
          <w:lang w:val="en-US" w:eastAsia="zh-CN"/>
        </w:rPr>
        <w:t>学院</w:t>
      </w:r>
      <w:r>
        <w:rPr>
          <w:rFonts w:hint="eastAsia" w:ascii="微软雅黑" w:hAnsi="微软雅黑" w:eastAsia="微软雅黑" w:cs="微软雅黑"/>
          <w:lang w:val="en-US" w:eastAsia="zh-CN"/>
        </w:rPr>
        <w:t>即可设置该批次时间并开启批次</w:t>
      </w:r>
      <w:r>
        <w:rPr>
          <w:rFonts w:hint="eastAsia" w:ascii="微软雅黑" w:hAnsi="微软雅黑" w:cs="微软雅黑"/>
          <w:lang w:val="en-US" w:eastAsia="zh-CN"/>
        </w:rPr>
        <w:t>，学生即可申请。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4310" cy="1115695"/>
            <wp:effectExtent l="0" t="0" r="8890" b="190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设置学院批次时间，设置后点击保存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69230" cy="2334895"/>
            <wp:effectExtent l="0" t="0" r="1270" b="1905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3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设置后返回开启批次即可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59705" cy="1332230"/>
            <wp:effectExtent l="0" t="0" r="10795" b="127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bidi w:val="0"/>
        <w:rPr>
          <w:rFonts w:hint="eastAsia"/>
          <w:lang w:eastAsia="zh-CN"/>
        </w:rPr>
      </w:pPr>
      <w:bookmarkStart w:id="13" w:name="_Toc8602"/>
      <w:r>
        <w:rPr>
          <w:rFonts w:hint="eastAsia"/>
          <w:lang w:val="en-US" w:eastAsia="zh-CN"/>
        </w:rPr>
        <w:t>学生申请（学生操作）</w:t>
      </w:r>
      <w:bookmarkEnd w:id="13"/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学生申请个人奖项，班长申请集体奖项。</w:t>
      </w:r>
    </w:p>
    <w:p>
      <w:pPr>
        <w:pStyle w:val="2"/>
        <w:ind w:firstLine="480" w:firstLineChars="20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本次为优秀奖学金、优秀干部、三好学生申请，请通过学校奖学金、、常规评优栏目点击选择申请。</w:t>
      </w:r>
    </w:p>
    <w:p>
      <w:pPr>
        <w:bidi w:val="0"/>
      </w:pPr>
      <w:r>
        <w:drawing>
          <wp:inline distT="0" distB="0" distL="114300" distR="114300">
            <wp:extent cx="5267325" cy="1988820"/>
            <wp:effectExtent l="0" t="0" r="3175" b="50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等待辅导员审批的奖项可调整、撤销、修改重新提交。</w:t>
      </w:r>
    </w:p>
    <w:p>
      <w:pPr>
        <w:bidi w:val="0"/>
      </w:pPr>
      <w:r>
        <w:drawing>
          <wp:inline distT="0" distB="0" distL="114300" distR="114300">
            <wp:extent cx="5270500" cy="581025"/>
            <wp:effectExtent l="0" t="0" r="0" b="317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388110"/>
            <wp:effectExtent l="0" t="0" r="3810" b="8890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ind w:left="0" w:leftChars="0" w:firstLine="0" w:firstLineChars="0"/>
        <w:jc w:val="left"/>
        <w:rPr>
          <w:rFonts w:hint="eastAsia"/>
          <w:lang w:val="en-US" w:eastAsia="zh-CN"/>
        </w:rPr>
      </w:pPr>
    </w:p>
    <w:p>
      <w:pPr>
        <w:pStyle w:val="6"/>
        <w:bidi w:val="0"/>
        <w:rPr>
          <w:rFonts w:hint="default"/>
          <w:lang w:val="en-US" w:eastAsia="zh-CN"/>
        </w:rPr>
      </w:pPr>
      <w:bookmarkStart w:id="14" w:name="_Toc10969"/>
      <w:bookmarkStart w:id="15" w:name="_Toc11637"/>
      <w:bookmarkStart w:id="16" w:name="_Toc26505"/>
      <w:r>
        <w:rPr>
          <w:rFonts w:hint="eastAsia"/>
          <w:lang w:val="en-US" w:eastAsia="zh-CN"/>
        </w:rPr>
        <w:t>奖助优审批</w:t>
      </w:r>
      <w:bookmarkEnd w:id="14"/>
      <w:bookmarkEnd w:id="15"/>
      <w:r>
        <w:rPr>
          <w:rFonts w:hint="eastAsia"/>
          <w:lang w:val="en-US" w:eastAsia="zh-CN"/>
        </w:rPr>
        <w:t>（辅导员审批）</w:t>
      </w:r>
      <w:bookmarkEnd w:id="16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审批管理范围内学生的奖助优申请。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9230" cy="1504950"/>
            <wp:effectExtent l="0" t="0" r="1270" b="63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在上图页面可点击学号进入单个审批、调整奖项。</w:t>
      </w:r>
    </w:p>
    <w:p>
      <w:pPr>
        <w:bidi w:val="0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1183640"/>
            <wp:effectExtent l="0" t="0" r="0" b="1016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bookmarkStart w:id="17" w:name="_Toc9191"/>
      <w:bookmarkStart w:id="18" w:name="_Toc1010"/>
      <w:r>
        <w:rPr>
          <w:rFonts w:hint="eastAsia"/>
          <w:lang w:val="en-US" w:eastAsia="zh-CN"/>
        </w:rPr>
        <w:t>如果学生申请的奖项需要进行调整，比如一等调整到二等，辅导员可对奖项进行调整。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1159510"/>
            <wp:effectExtent l="0" t="0" r="444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15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1414780"/>
            <wp:effectExtent l="0" t="0" r="127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bidi w:val="0"/>
        <w:rPr>
          <w:rFonts w:hint="default"/>
          <w:lang w:val="en-US" w:eastAsia="zh-CN"/>
        </w:rPr>
      </w:pPr>
      <w:bookmarkStart w:id="19" w:name="_Toc4614"/>
      <w:r>
        <w:rPr>
          <w:rFonts w:hint="eastAsia"/>
          <w:lang w:val="en-US" w:eastAsia="zh-CN"/>
        </w:rPr>
        <w:t>奖助优审批</w:t>
      </w:r>
      <w:bookmarkEnd w:id="17"/>
      <w:bookmarkEnd w:id="18"/>
      <w:r>
        <w:rPr>
          <w:rFonts w:hint="eastAsia"/>
          <w:lang w:val="en-US" w:eastAsia="zh-CN"/>
        </w:rPr>
        <w:t>（学院审批）</w:t>
      </w:r>
      <w:bookmarkEnd w:id="19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审批管理范围内学生的奖助优申请。</w:t>
      </w:r>
    </w:p>
    <w:p>
      <w:r>
        <w:drawing>
          <wp:inline distT="0" distB="0" distL="114300" distR="114300">
            <wp:extent cx="5268595" cy="1619885"/>
            <wp:effectExtent l="0" t="0" r="1905" b="5715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在上图页面可点击学号进入单个审批、调整奖项。</w:t>
      </w:r>
    </w:p>
    <w:p>
      <w:r>
        <w:drawing>
          <wp:inline distT="0" distB="0" distL="114300" distR="114300">
            <wp:extent cx="5273675" cy="1602105"/>
            <wp:effectExtent l="0" t="0" r="9525" b="10795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如果学生申请的奖项需要进行调整，比如一等调整到二等，学院可对奖项进行调整。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1159510"/>
            <wp:effectExtent l="0" t="0" r="4445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15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1414780"/>
            <wp:effectExtent l="0" t="0" r="127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6"/>
        <w:bidi w:val="0"/>
        <w:rPr>
          <w:rFonts w:hint="default"/>
          <w:lang w:val="en-US" w:eastAsia="zh-CN"/>
        </w:rPr>
      </w:pPr>
      <w:bookmarkStart w:id="20" w:name="_Toc32602"/>
      <w:bookmarkStart w:id="21" w:name="_Toc12569"/>
      <w:bookmarkStart w:id="22" w:name="_Toc19813"/>
      <w:r>
        <w:rPr>
          <w:rFonts w:hint="eastAsia"/>
          <w:lang w:val="en-US" w:eastAsia="zh-CN"/>
        </w:rPr>
        <w:t>开启公示</w:t>
      </w:r>
      <w:bookmarkEnd w:id="20"/>
      <w:bookmarkEnd w:id="21"/>
      <w:r>
        <w:rPr>
          <w:rFonts w:hint="eastAsia"/>
          <w:lang w:val="en-US" w:eastAsia="zh-CN"/>
        </w:rPr>
        <w:t>（学院公式）</w:t>
      </w:r>
      <w:bookmarkEnd w:id="22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奖助优审批工作结束后可直接提交到学生处，也可公示后再提交，提交后学生不可提交新的申请。</w:t>
      </w:r>
    </w:p>
    <w:p>
      <w:pPr>
        <w:bidi w:val="0"/>
      </w:pPr>
      <w:r>
        <w:drawing>
          <wp:inline distT="0" distB="0" distL="114300" distR="114300">
            <wp:extent cx="5268595" cy="1121410"/>
            <wp:effectExtent l="0" t="0" r="1905" b="8890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公示的信息会再公示区中展示。</w:t>
      </w:r>
    </w:p>
    <w:p>
      <w:pPr>
        <w:bidi w:val="0"/>
      </w:pPr>
      <w:r>
        <w:drawing>
          <wp:inline distT="0" distB="0" distL="114300" distR="114300">
            <wp:extent cx="5260975" cy="2736215"/>
            <wp:effectExtent l="0" t="0" r="9525" b="698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bidi w:val="0"/>
        <w:rPr>
          <w:rFonts w:hint="default"/>
          <w:lang w:val="en-US" w:eastAsia="zh-CN"/>
        </w:rPr>
      </w:pPr>
      <w:bookmarkStart w:id="23" w:name="_Toc7089"/>
      <w:r>
        <w:rPr>
          <w:rFonts w:hint="eastAsia"/>
          <w:lang w:val="en-US" w:eastAsia="zh-CN"/>
        </w:rPr>
        <w:t>提交学生处（学院操作）</w:t>
      </w:r>
      <w:bookmarkEnd w:id="23"/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学院公式完成后，或者不公示可点击“提交学生处”审核。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554980" cy="1096645"/>
            <wp:effectExtent l="0" t="0" r="7620" b="8255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54980" cy="109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bidi w:val="0"/>
        <w:rPr>
          <w:rFonts w:hint="default"/>
          <w:lang w:val="en-US" w:eastAsia="zh-CN"/>
        </w:rPr>
      </w:pPr>
      <w:bookmarkStart w:id="24" w:name="_Toc23744"/>
      <w:r>
        <w:rPr>
          <w:rFonts w:hint="eastAsia"/>
          <w:lang w:val="en-US" w:eastAsia="zh-CN"/>
        </w:rPr>
        <w:t>奖助优审批</w:t>
      </w:r>
      <w:bookmarkEnd w:id="12"/>
      <w:r>
        <w:rPr>
          <w:rFonts w:hint="eastAsia"/>
          <w:lang w:val="en-US" w:eastAsia="zh-CN"/>
        </w:rPr>
        <w:t>（学生处审批）</w:t>
      </w:r>
      <w:bookmarkEnd w:id="24"/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审批全校学生的奖助优申请。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67325" cy="1583055"/>
            <wp:effectExtent l="0" t="0" r="3175" b="444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在上图页面可点击学号进入单个审批、调整奖项。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3675" cy="1261110"/>
            <wp:effectExtent l="0" t="0" r="9525" b="889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26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</w:p>
    <w:p>
      <w:pPr>
        <w:pStyle w:val="6"/>
        <w:bidi w:val="0"/>
        <w:rPr>
          <w:rFonts w:hint="default"/>
          <w:lang w:val="en-US" w:eastAsia="zh-CN"/>
        </w:rPr>
      </w:pPr>
      <w:bookmarkStart w:id="25" w:name="_Toc18954"/>
      <w:bookmarkStart w:id="26" w:name="_Toc20010"/>
      <w:r>
        <w:rPr>
          <w:rFonts w:hint="eastAsia"/>
          <w:lang w:val="en-US" w:eastAsia="zh-CN"/>
        </w:rPr>
        <w:t>查询</w:t>
      </w:r>
      <w:bookmarkEnd w:id="25"/>
      <w:bookmarkEnd w:id="26"/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查询全校奖助优信息。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4785" cy="1579880"/>
            <wp:effectExtent l="0" t="0" r="5715" b="762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</w:p>
    <w:p>
      <w:pPr>
        <w:pStyle w:val="2"/>
        <w:rPr>
          <w:rFonts w:hint="default" w:eastAsia="微软雅黑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roman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3A44BB"/>
    <w:multiLevelType w:val="multilevel"/>
    <w:tmpl w:val="1B3A44BB"/>
    <w:lvl w:ilvl="0" w:tentative="0">
      <w:start w:val="1"/>
      <w:numFmt w:val="chineseCounting"/>
      <w:pStyle w:val="5"/>
      <w:suff w:val="nothing"/>
      <w:lvlText w:val="第%1章 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6"/>
      <w:isLgl/>
      <w:lvlText w:val="%1.%2."/>
      <w:lvlJc w:val="left"/>
      <w:pPr>
        <w:ind w:left="575" w:hanging="575"/>
      </w:pPr>
      <w:rPr>
        <w:rFonts w:hint="eastAsia"/>
      </w:rPr>
    </w:lvl>
    <w:lvl w:ilvl="2" w:tentative="0">
      <w:start w:val="1"/>
      <w:numFmt w:val="decimal"/>
      <w:pStyle w:val="7"/>
      <w:isLgl/>
      <w:lvlText w:val="%1.%2.%3.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pStyle w:val="8"/>
      <w:isLgl/>
      <w:lvlText w:val="%1.%2.%3.%4.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pStyle w:val="9"/>
      <w:isLgl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10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pStyle w:val="11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12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3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JiMzAzZjI1MmQ3ZTkxNmU5MTI3NDI4ODdmOGI1YmYifQ=="/>
  </w:docVars>
  <w:rsids>
    <w:rsidRoot w:val="00000000"/>
    <w:rsid w:val="006911F9"/>
    <w:rsid w:val="00E363EC"/>
    <w:rsid w:val="019329D2"/>
    <w:rsid w:val="02463E8E"/>
    <w:rsid w:val="025F1FAE"/>
    <w:rsid w:val="02674703"/>
    <w:rsid w:val="027464D3"/>
    <w:rsid w:val="032A3000"/>
    <w:rsid w:val="03334D16"/>
    <w:rsid w:val="03CA2FB6"/>
    <w:rsid w:val="04551E9C"/>
    <w:rsid w:val="04D8694E"/>
    <w:rsid w:val="051E376F"/>
    <w:rsid w:val="05AA678F"/>
    <w:rsid w:val="063F2D3B"/>
    <w:rsid w:val="06A17990"/>
    <w:rsid w:val="06A54A54"/>
    <w:rsid w:val="06E3084F"/>
    <w:rsid w:val="06ED1368"/>
    <w:rsid w:val="07E8449E"/>
    <w:rsid w:val="07F140E6"/>
    <w:rsid w:val="08205752"/>
    <w:rsid w:val="08CC07C4"/>
    <w:rsid w:val="0942254F"/>
    <w:rsid w:val="09F9570D"/>
    <w:rsid w:val="0A803161"/>
    <w:rsid w:val="0AFB753E"/>
    <w:rsid w:val="0B131010"/>
    <w:rsid w:val="0B904FA2"/>
    <w:rsid w:val="0C1110C3"/>
    <w:rsid w:val="0C2106FD"/>
    <w:rsid w:val="0C4D5E73"/>
    <w:rsid w:val="0CE25280"/>
    <w:rsid w:val="0D3B5EC1"/>
    <w:rsid w:val="0D7A67F4"/>
    <w:rsid w:val="0D947708"/>
    <w:rsid w:val="0DBE0DD6"/>
    <w:rsid w:val="0E175DA6"/>
    <w:rsid w:val="0EF061A4"/>
    <w:rsid w:val="0FB8588A"/>
    <w:rsid w:val="0FB85A6A"/>
    <w:rsid w:val="0FB906FE"/>
    <w:rsid w:val="106E34D8"/>
    <w:rsid w:val="10FD39C4"/>
    <w:rsid w:val="123F4D19"/>
    <w:rsid w:val="125C471A"/>
    <w:rsid w:val="128E7EB8"/>
    <w:rsid w:val="13C1056E"/>
    <w:rsid w:val="13EB2D74"/>
    <w:rsid w:val="144B7C9B"/>
    <w:rsid w:val="147F49F8"/>
    <w:rsid w:val="14845A46"/>
    <w:rsid w:val="15027B4B"/>
    <w:rsid w:val="152B0833"/>
    <w:rsid w:val="158610FB"/>
    <w:rsid w:val="16046CC8"/>
    <w:rsid w:val="17680005"/>
    <w:rsid w:val="17A414A4"/>
    <w:rsid w:val="17D26833"/>
    <w:rsid w:val="17F519A1"/>
    <w:rsid w:val="1821268E"/>
    <w:rsid w:val="1822376F"/>
    <w:rsid w:val="185E295B"/>
    <w:rsid w:val="186939D3"/>
    <w:rsid w:val="18B90B18"/>
    <w:rsid w:val="193E3960"/>
    <w:rsid w:val="19915D93"/>
    <w:rsid w:val="19F60948"/>
    <w:rsid w:val="1C473840"/>
    <w:rsid w:val="1E232E74"/>
    <w:rsid w:val="1EC028CD"/>
    <w:rsid w:val="1EDC4D23"/>
    <w:rsid w:val="1F5158D3"/>
    <w:rsid w:val="1F8452B0"/>
    <w:rsid w:val="1F9B00CA"/>
    <w:rsid w:val="20302A2B"/>
    <w:rsid w:val="2081265F"/>
    <w:rsid w:val="20991ACC"/>
    <w:rsid w:val="20C2153E"/>
    <w:rsid w:val="213E167D"/>
    <w:rsid w:val="215B0191"/>
    <w:rsid w:val="221625B6"/>
    <w:rsid w:val="227B5090"/>
    <w:rsid w:val="229B7BB8"/>
    <w:rsid w:val="2427572B"/>
    <w:rsid w:val="24391F1F"/>
    <w:rsid w:val="24C10110"/>
    <w:rsid w:val="24E108C2"/>
    <w:rsid w:val="24F11ADD"/>
    <w:rsid w:val="252C665C"/>
    <w:rsid w:val="2539209B"/>
    <w:rsid w:val="25B95ECD"/>
    <w:rsid w:val="25DE650D"/>
    <w:rsid w:val="25F969F8"/>
    <w:rsid w:val="260C2243"/>
    <w:rsid w:val="26502858"/>
    <w:rsid w:val="26C26CD0"/>
    <w:rsid w:val="27271343"/>
    <w:rsid w:val="27A40BE5"/>
    <w:rsid w:val="27EC10B2"/>
    <w:rsid w:val="281535D6"/>
    <w:rsid w:val="2879711E"/>
    <w:rsid w:val="2915010B"/>
    <w:rsid w:val="29312005"/>
    <w:rsid w:val="29A31ED7"/>
    <w:rsid w:val="2A2F5044"/>
    <w:rsid w:val="2A5F37FC"/>
    <w:rsid w:val="2A9F0514"/>
    <w:rsid w:val="2B1134DD"/>
    <w:rsid w:val="2C0767D5"/>
    <w:rsid w:val="2D4C0C9B"/>
    <w:rsid w:val="2EB20018"/>
    <w:rsid w:val="30875F1C"/>
    <w:rsid w:val="309C1A0D"/>
    <w:rsid w:val="30B43D6C"/>
    <w:rsid w:val="30D7066D"/>
    <w:rsid w:val="31516448"/>
    <w:rsid w:val="316C15B3"/>
    <w:rsid w:val="319000D0"/>
    <w:rsid w:val="32EC147A"/>
    <w:rsid w:val="33230498"/>
    <w:rsid w:val="33335F2D"/>
    <w:rsid w:val="336C6F69"/>
    <w:rsid w:val="342E619F"/>
    <w:rsid w:val="346428DD"/>
    <w:rsid w:val="34F21498"/>
    <w:rsid w:val="35BC70FA"/>
    <w:rsid w:val="35EF127D"/>
    <w:rsid w:val="363A6C02"/>
    <w:rsid w:val="37243E0C"/>
    <w:rsid w:val="37537733"/>
    <w:rsid w:val="386A6E78"/>
    <w:rsid w:val="38B3186E"/>
    <w:rsid w:val="39432480"/>
    <w:rsid w:val="39F65DAB"/>
    <w:rsid w:val="3A345DF9"/>
    <w:rsid w:val="3AFC5121"/>
    <w:rsid w:val="3B1C5C78"/>
    <w:rsid w:val="3BDA3773"/>
    <w:rsid w:val="3C4339B6"/>
    <w:rsid w:val="3C457D6E"/>
    <w:rsid w:val="3D163594"/>
    <w:rsid w:val="3E067AAC"/>
    <w:rsid w:val="3E295549"/>
    <w:rsid w:val="3E4203B8"/>
    <w:rsid w:val="3EAD1CD6"/>
    <w:rsid w:val="400F2237"/>
    <w:rsid w:val="4036221B"/>
    <w:rsid w:val="409138FC"/>
    <w:rsid w:val="40D46EBB"/>
    <w:rsid w:val="414C7904"/>
    <w:rsid w:val="4218197D"/>
    <w:rsid w:val="4219449C"/>
    <w:rsid w:val="4224225E"/>
    <w:rsid w:val="430A77E3"/>
    <w:rsid w:val="438A0592"/>
    <w:rsid w:val="43963680"/>
    <w:rsid w:val="44EF5EC4"/>
    <w:rsid w:val="4710374A"/>
    <w:rsid w:val="47E30DD3"/>
    <w:rsid w:val="48351E04"/>
    <w:rsid w:val="4A625ABE"/>
    <w:rsid w:val="4A966046"/>
    <w:rsid w:val="4A9E3210"/>
    <w:rsid w:val="4AA448D5"/>
    <w:rsid w:val="4B76250B"/>
    <w:rsid w:val="4BF3326B"/>
    <w:rsid w:val="4BF62E58"/>
    <w:rsid w:val="4C6655B0"/>
    <w:rsid w:val="4CA3296A"/>
    <w:rsid w:val="4D0C49B3"/>
    <w:rsid w:val="4D986C55"/>
    <w:rsid w:val="4E434B9D"/>
    <w:rsid w:val="4E5D3206"/>
    <w:rsid w:val="4E980F62"/>
    <w:rsid w:val="4EF54110"/>
    <w:rsid w:val="4F3A6E5D"/>
    <w:rsid w:val="4FA47125"/>
    <w:rsid w:val="501A73E7"/>
    <w:rsid w:val="50C73947"/>
    <w:rsid w:val="50D774B3"/>
    <w:rsid w:val="51026F3B"/>
    <w:rsid w:val="5113199A"/>
    <w:rsid w:val="51BE41F3"/>
    <w:rsid w:val="526037D7"/>
    <w:rsid w:val="52B34641"/>
    <w:rsid w:val="52C40D00"/>
    <w:rsid w:val="5358625C"/>
    <w:rsid w:val="535A0B2D"/>
    <w:rsid w:val="53C32263"/>
    <w:rsid w:val="53DD63C6"/>
    <w:rsid w:val="54703A7A"/>
    <w:rsid w:val="5470695E"/>
    <w:rsid w:val="54E13CA1"/>
    <w:rsid w:val="54F40906"/>
    <w:rsid w:val="551D22FE"/>
    <w:rsid w:val="554C1DF1"/>
    <w:rsid w:val="55F160FD"/>
    <w:rsid w:val="560070F2"/>
    <w:rsid w:val="568E11C4"/>
    <w:rsid w:val="56C367D4"/>
    <w:rsid w:val="570072A6"/>
    <w:rsid w:val="58247055"/>
    <w:rsid w:val="5827444F"/>
    <w:rsid w:val="587F428B"/>
    <w:rsid w:val="58A93FD6"/>
    <w:rsid w:val="58F06C46"/>
    <w:rsid w:val="59BC506B"/>
    <w:rsid w:val="5A704BF8"/>
    <w:rsid w:val="5A816E5F"/>
    <w:rsid w:val="5A8366E1"/>
    <w:rsid w:val="5B0A7296"/>
    <w:rsid w:val="5BF16601"/>
    <w:rsid w:val="5C68510F"/>
    <w:rsid w:val="5D075EB9"/>
    <w:rsid w:val="5D1B5ABD"/>
    <w:rsid w:val="5D6B2B0C"/>
    <w:rsid w:val="5E060BD8"/>
    <w:rsid w:val="5E0D18E4"/>
    <w:rsid w:val="5E7261FE"/>
    <w:rsid w:val="5EDD2ECD"/>
    <w:rsid w:val="5F1533A0"/>
    <w:rsid w:val="602F3765"/>
    <w:rsid w:val="609B6C9C"/>
    <w:rsid w:val="60CA5DB9"/>
    <w:rsid w:val="611C1755"/>
    <w:rsid w:val="615E14C9"/>
    <w:rsid w:val="61614741"/>
    <w:rsid w:val="61A903D1"/>
    <w:rsid w:val="61C852B9"/>
    <w:rsid w:val="61F4720A"/>
    <w:rsid w:val="6236796F"/>
    <w:rsid w:val="62407012"/>
    <w:rsid w:val="628801E0"/>
    <w:rsid w:val="62960734"/>
    <w:rsid w:val="62D90801"/>
    <w:rsid w:val="62F537BE"/>
    <w:rsid w:val="633C7E24"/>
    <w:rsid w:val="63485DE5"/>
    <w:rsid w:val="63BF2C7A"/>
    <w:rsid w:val="63CB2F6C"/>
    <w:rsid w:val="63CF5B8B"/>
    <w:rsid w:val="63F95C78"/>
    <w:rsid w:val="63FD0BB2"/>
    <w:rsid w:val="646903C9"/>
    <w:rsid w:val="650A5824"/>
    <w:rsid w:val="65440A49"/>
    <w:rsid w:val="66210B98"/>
    <w:rsid w:val="66E05E54"/>
    <w:rsid w:val="67346B89"/>
    <w:rsid w:val="684E2CED"/>
    <w:rsid w:val="68A65864"/>
    <w:rsid w:val="68B65DEB"/>
    <w:rsid w:val="68F44821"/>
    <w:rsid w:val="696E479C"/>
    <w:rsid w:val="69707267"/>
    <w:rsid w:val="69C73CE4"/>
    <w:rsid w:val="69DB2D7E"/>
    <w:rsid w:val="6A0E3E0F"/>
    <w:rsid w:val="6A355D0D"/>
    <w:rsid w:val="6ABA3FEF"/>
    <w:rsid w:val="6B0625EA"/>
    <w:rsid w:val="6B5E1443"/>
    <w:rsid w:val="6B766ECC"/>
    <w:rsid w:val="6B8328EB"/>
    <w:rsid w:val="6B98651E"/>
    <w:rsid w:val="6CB150E5"/>
    <w:rsid w:val="6CEF5D97"/>
    <w:rsid w:val="6D016CC4"/>
    <w:rsid w:val="6D181A98"/>
    <w:rsid w:val="6D936B06"/>
    <w:rsid w:val="6E041D52"/>
    <w:rsid w:val="6E2039C3"/>
    <w:rsid w:val="6E4F706E"/>
    <w:rsid w:val="6E6E708C"/>
    <w:rsid w:val="6F5B093D"/>
    <w:rsid w:val="6F9325D2"/>
    <w:rsid w:val="6FE97166"/>
    <w:rsid w:val="70F30D88"/>
    <w:rsid w:val="7157616A"/>
    <w:rsid w:val="715A0694"/>
    <w:rsid w:val="717B24CE"/>
    <w:rsid w:val="71C24745"/>
    <w:rsid w:val="72DE08DD"/>
    <w:rsid w:val="732600A9"/>
    <w:rsid w:val="74240862"/>
    <w:rsid w:val="749D4B3B"/>
    <w:rsid w:val="74C76E7D"/>
    <w:rsid w:val="74F82A55"/>
    <w:rsid w:val="755C16A1"/>
    <w:rsid w:val="75BC435D"/>
    <w:rsid w:val="774B1AB0"/>
    <w:rsid w:val="79393B8B"/>
    <w:rsid w:val="79464C7D"/>
    <w:rsid w:val="79A80566"/>
    <w:rsid w:val="7A775D26"/>
    <w:rsid w:val="7A9F0CB7"/>
    <w:rsid w:val="7AAA0672"/>
    <w:rsid w:val="7AC43A9E"/>
    <w:rsid w:val="7B891800"/>
    <w:rsid w:val="7C132493"/>
    <w:rsid w:val="7CE65DD7"/>
    <w:rsid w:val="7D851A94"/>
    <w:rsid w:val="7E6D1AF7"/>
    <w:rsid w:val="7ECF3AD0"/>
    <w:rsid w:val="7EED5B43"/>
    <w:rsid w:val="7F613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iPriority="99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adjustRightInd w:val="0"/>
      <w:snapToGrid w:val="0"/>
      <w:spacing w:line="360" w:lineRule="auto"/>
      <w:ind w:firstLine="1936" w:firstLineChars="200"/>
      <w:jc w:val="both"/>
    </w:pPr>
    <w:rPr>
      <w:rFonts w:ascii="Calibri" w:hAnsi="Calibri" w:eastAsia="微软雅黑" w:cs="Times New Roman"/>
      <w:kern w:val="2"/>
      <w:sz w:val="24"/>
      <w:szCs w:val="22"/>
      <w:lang w:val="en-US" w:eastAsia="zh-CN" w:bidi="ar-SA"/>
    </w:rPr>
  </w:style>
  <w:style w:type="paragraph" w:styleId="5">
    <w:name w:val="heading 1"/>
    <w:basedOn w:val="1"/>
    <w:next w:val="1"/>
    <w:autoRedefine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240" w:lineRule="auto"/>
      <w:ind w:firstLine="0" w:firstLineChars="0"/>
      <w:outlineLvl w:val="0"/>
    </w:pPr>
    <w:rPr>
      <w:b/>
      <w:kern w:val="44"/>
      <w:sz w:val="32"/>
    </w:rPr>
  </w:style>
  <w:style w:type="paragraph" w:styleId="6">
    <w:name w:val="heading 2"/>
    <w:basedOn w:val="1"/>
    <w:next w:val="1"/>
    <w:autoRedefine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240" w:lineRule="auto"/>
      <w:ind w:left="575" w:hanging="575" w:firstLineChars="0"/>
      <w:outlineLvl w:val="1"/>
    </w:pPr>
    <w:rPr>
      <w:rFonts w:ascii="Arial" w:hAnsi="Arial"/>
      <w:b/>
      <w:sz w:val="30"/>
    </w:rPr>
  </w:style>
  <w:style w:type="paragraph" w:styleId="7">
    <w:name w:val="heading 3"/>
    <w:basedOn w:val="1"/>
    <w:next w:val="1"/>
    <w:autoRedefine/>
    <w:unhideWhenUsed/>
    <w:qFormat/>
    <w:uiPriority w:val="0"/>
    <w:pPr>
      <w:keepNext/>
      <w:keepLines/>
      <w:numPr>
        <w:ilvl w:val="2"/>
        <w:numId w:val="1"/>
      </w:numPr>
      <w:adjustRightInd w:val="0"/>
      <w:snapToGrid w:val="0"/>
      <w:spacing w:line="240" w:lineRule="auto"/>
      <w:ind w:left="720" w:hanging="720" w:firstLineChars="0"/>
      <w:outlineLvl w:val="2"/>
    </w:pPr>
    <w:rPr>
      <w:b/>
      <w:sz w:val="28"/>
    </w:rPr>
  </w:style>
  <w:style w:type="paragraph" w:styleId="8">
    <w:name w:val="heading 4"/>
    <w:basedOn w:val="1"/>
    <w:next w:val="1"/>
    <w:autoRedefine/>
    <w:unhideWhenUsed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ind w:left="864" w:hanging="864" w:firstLineChars="0"/>
      <w:outlineLvl w:val="3"/>
    </w:pPr>
    <w:rPr>
      <w:rFonts w:ascii="Calibri Light" w:hAnsi="Calibri Light"/>
      <w:b/>
      <w:bCs/>
      <w:sz w:val="28"/>
      <w:szCs w:val="28"/>
    </w:rPr>
  </w:style>
  <w:style w:type="paragraph" w:styleId="9">
    <w:name w:val="heading 5"/>
    <w:basedOn w:val="1"/>
    <w:next w:val="1"/>
    <w:autoRedefine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1008" w:hanging="1008" w:firstLineChars="0"/>
      <w:outlineLvl w:val="4"/>
    </w:pPr>
    <w:rPr>
      <w:b/>
      <w:sz w:val="28"/>
    </w:rPr>
  </w:style>
  <w:style w:type="paragraph" w:styleId="10">
    <w:name w:val="heading 6"/>
    <w:basedOn w:val="1"/>
    <w:next w:val="1"/>
    <w:autoRedefine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 w:firstLineChars="0"/>
      <w:outlineLvl w:val="5"/>
    </w:pPr>
    <w:rPr>
      <w:rFonts w:ascii="Arial" w:hAnsi="Arial" w:eastAsia="黑体"/>
      <w:b/>
      <w:sz w:val="24"/>
    </w:rPr>
  </w:style>
  <w:style w:type="paragraph" w:styleId="11">
    <w:name w:val="heading 7"/>
    <w:basedOn w:val="1"/>
    <w:next w:val="1"/>
    <w:autoRedefine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 w:firstLineChars="0"/>
      <w:outlineLvl w:val="6"/>
    </w:pPr>
    <w:rPr>
      <w:b/>
      <w:sz w:val="24"/>
    </w:rPr>
  </w:style>
  <w:style w:type="paragraph" w:styleId="12">
    <w:name w:val="heading 8"/>
    <w:basedOn w:val="1"/>
    <w:next w:val="1"/>
    <w:autoRedefine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13">
    <w:name w:val="heading 9"/>
    <w:basedOn w:val="1"/>
    <w:next w:val="1"/>
    <w:autoRedefine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18">
    <w:name w:val="Default Paragraph Font"/>
    <w:autoRedefine/>
    <w:semiHidden/>
    <w:qFormat/>
    <w:uiPriority w:val="0"/>
  </w:style>
  <w:style w:type="table" w:default="1" w:styleId="1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next w:val="1"/>
    <w:autoRedefine/>
    <w:qFormat/>
    <w:uiPriority w:val="0"/>
    <w:pPr>
      <w:ind w:firstLine="420" w:firstLineChars="100"/>
    </w:pPr>
  </w:style>
  <w:style w:type="paragraph" w:styleId="3">
    <w:name w:val="Body Text"/>
    <w:basedOn w:val="1"/>
    <w:next w:val="4"/>
    <w:autoRedefine/>
    <w:qFormat/>
    <w:uiPriority w:val="0"/>
    <w:pPr>
      <w:spacing w:after="120" w:afterLines="0" w:afterAutospacing="0"/>
    </w:pPr>
  </w:style>
  <w:style w:type="paragraph" w:styleId="4">
    <w:name w:val="Body Text 2"/>
    <w:basedOn w:val="1"/>
    <w:autoRedefine/>
    <w:unhideWhenUsed/>
    <w:qFormat/>
    <w:uiPriority w:val="99"/>
  </w:style>
  <w:style w:type="paragraph" w:styleId="14">
    <w:name w:val="toc 3"/>
    <w:basedOn w:val="1"/>
    <w:next w:val="1"/>
    <w:autoRedefine/>
    <w:qFormat/>
    <w:uiPriority w:val="0"/>
    <w:pPr>
      <w:ind w:left="840" w:leftChars="400"/>
    </w:pPr>
  </w:style>
  <w:style w:type="paragraph" w:styleId="15">
    <w:name w:val="toc 1"/>
    <w:basedOn w:val="1"/>
    <w:next w:val="1"/>
    <w:autoRedefine/>
    <w:qFormat/>
    <w:uiPriority w:val="0"/>
  </w:style>
  <w:style w:type="paragraph" w:styleId="16">
    <w:name w:val="toc 2"/>
    <w:basedOn w:val="1"/>
    <w:next w:val="1"/>
    <w:autoRedefine/>
    <w:qFormat/>
    <w:uiPriority w:val="0"/>
    <w:pPr>
      <w:ind w:left="420" w:leftChars="200"/>
    </w:pPr>
  </w:style>
  <w:style w:type="character" w:styleId="19">
    <w:name w:val="FollowedHyperlink"/>
    <w:basedOn w:val="18"/>
    <w:autoRedefine/>
    <w:qFormat/>
    <w:uiPriority w:val="0"/>
    <w:rPr>
      <w:color w:val="800080"/>
      <w:u w:val="single"/>
    </w:rPr>
  </w:style>
  <w:style w:type="character" w:styleId="20">
    <w:name w:val="Hyperlink"/>
    <w:basedOn w:val="18"/>
    <w:autoRedefine/>
    <w:qFormat/>
    <w:uiPriority w:val="0"/>
    <w:rPr>
      <w:color w:val="0000FF"/>
      <w:u w:val="single"/>
    </w:rPr>
  </w:style>
  <w:style w:type="paragraph" w:styleId="21">
    <w:name w:val="List Paragraph"/>
    <w:basedOn w:val="1"/>
    <w:autoRedefine/>
    <w:unhideWhenUsed/>
    <w:qFormat/>
    <w:uiPriority w:val="99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0" Type="http://schemas.openxmlformats.org/officeDocument/2006/relationships/fontTable" Target="fontTable.xml"/><Relationship Id="rId3" Type="http://schemas.openxmlformats.org/officeDocument/2006/relationships/footnotes" Target="footnotes.xml"/><Relationship Id="rId29" Type="http://schemas.openxmlformats.org/officeDocument/2006/relationships/numbering" Target="numbering.xml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WPS_1568431337</cp:lastModifiedBy>
  <dcterms:modified xsi:type="dcterms:W3CDTF">2024-04-11T11:51:13Z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133732AE2215499E9AC4ECFD0BEA21DC_12</vt:lpwstr>
  </property>
</Properties>
</file>