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中共福州职业技术学院委员会</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关于党的十九届六中全会精神学习培训方案</w:t>
      </w:r>
    </w:p>
    <w:p>
      <w:pPr>
        <w:spacing w:line="520" w:lineRule="exact"/>
        <w:rPr>
          <w:rFonts w:ascii="仿宋_GB2312" w:hAnsi="仿宋_GB2312" w:eastAsia="仿宋_GB2312" w:cs="仿宋_GB2312"/>
          <w:sz w:val="32"/>
          <w:szCs w:val="32"/>
        </w:rPr>
      </w:pPr>
    </w:p>
    <w:p>
      <w:pPr>
        <w:spacing w:line="520" w:lineRule="exact"/>
        <w:ind w:firstLine="640"/>
        <w:rPr>
          <w:rFonts w:ascii="仿宋_GB2312" w:hAnsi="仿宋" w:eastAsia="仿宋_GB2312"/>
          <w:sz w:val="28"/>
          <w:szCs w:val="28"/>
        </w:rPr>
      </w:pPr>
      <w:r>
        <w:rPr>
          <w:rFonts w:hint="eastAsia" w:ascii="仿宋_GB2312" w:hAnsi="仿宋_GB2312" w:eastAsia="仿宋_GB2312" w:cs="仿宋_GB2312"/>
          <w:sz w:val="28"/>
          <w:szCs w:val="28"/>
        </w:rPr>
        <w:t>为深入学习宣传贯彻党的十九届六中全会精神，紧紧</w:t>
      </w:r>
      <w:r>
        <w:rPr>
          <w:rFonts w:hint="eastAsia" w:ascii="仿宋_GB2312" w:hAnsi="仿宋" w:eastAsia="仿宋_GB2312"/>
          <w:sz w:val="28"/>
          <w:szCs w:val="28"/>
        </w:rPr>
        <w:t>围绕学校坚持社会主义办学方向，全面落实立德树人根本任务，加快建设省内一流、国内知名、特色鲜明的高水平高职强校的目标，根据中央及省委、市委的部署要求，以及《中共福州市委组织部关于组织全市党员干部开展学习贯彻党的十九届六中全会精神培训工作的通知》（榕委组通</w:t>
      </w:r>
      <w:r>
        <w:rPr>
          <w:rFonts w:hint="eastAsia" w:ascii="仿宋_GB2312" w:hAnsi="仿宋_GB2312" w:eastAsia="仿宋_GB2312" w:cs="仿宋_GB2312"/>
          <w:sz w:val="28"/>
          <w:szCs w:val="28"/>
        </w:rPr>
        <w:t>〔2021〕48号</w:t>
      </w:r>
      <w:r>
        <w:rPr>
          <w:rFonts w:hint="eastAsia" w:ascii="仿宋_GB2312" w:hAnsi="仿宋" w:eastAsia="仿宋_GB2312"/>
          <w:sz w:val="28"/>
          <w:szCs w:val="28"/>
        </w:rPr>
        <w:t>）要求，决定在全校范围内组织党员干部开展学习贯彻党的十九届六中全会精神培训工作。</w:t>
      </w:r>
    </w:p>
    <w:p>
      <w:pPr>
        <w:spacing w:line="520" w:lineRule="exact"/>
        <w:ind w:firstLine="640"/>
        <w:rPr>
          <w:rFonts w:ascii="黑体" w:hAnsi="黑体" w:eastAsia="黑体" w:cs="黑体"/>
          <w:sz w:val="28"/>
          <w:szCs w:val="28"/>
        </w:rPr>
      </w:pPr>
      <w:r>
        <w:rPr>
          <w:rFonts w:hint="eastAsia" w:ascii="黑体" w:hAnsi="黑体" w:eastAsia="黑体" w:cs="黑体"/>
          <w:sz w:val="28"/>
          <w:szCs w:val="28"/>
        </w:rPr>
        <w:t>一、培训时间</w:t>
      </w:r>
    </w:p>
    <w:p>
      <w:pPr>
        <w:spacing w:line="520" w:lineRule="exact"/>
        <w:ind w:firstLine="640"/>
        <w:rPr>
          <w:rFonts w:ascii="仿宋_GB2312" w:hAnsi="仿宋" w:eastAsia="仿宋_GB2312"/>
          <w:sz w:val="28"/>
          <w:szCs w:val="28"/>
        </w:rPr>
      </w:pPr>
      <w:r>
        <w:rPr>
          <w:rFonts w:hint="eastAsia" w:ascii="仿宋_GB2312" w:hAnsi="仿宋" w:eastAsia="仿宋_GB2312"/>
          <w:sz w:val="28"/>
          <w:szCs w:val="28"/>
        </w:rPr>
        <w:t>2021年12月20日至2022年6月30日</w:t>
      </w:r>
    </w:p>
    <w:p>
      <w:pPr>
        <w:spacing w:line="520" w:lineRule="exact"/>
        <w:ind w:firstLine="640"/>
        <w:rPr>
          <w:rFonts w:ascii="黑体" w:hAnsi="黑体" w:eastAsia="黑体" w:cs="黑体"/>
          <w:sz w:val="28"/>
          <w:szCs w:val="28"/>
        </w:rPr>
      </w:pPr>
      <w:r>
        <w:rPr>
          <w:rFonts w:hint="eastAsia" w:ascii="黑体" w:hAnsi="黑体" w:eastAsia="黑体" w:cs="黑体"/>
          <w:sz w:val="28"/>
          <w:szCs w:val="28"/>
        </w:rPr>
        <w:t>二、培训对象</w:t>
      </w:r>
    </w:p>
    <w:p>
      <w:pPr>
        <w:spacing w:line="520" w:lineRule="exact"/>
        <w:ind w:firstLine="640"/>
        <w:rPr>
          <w:rFonts w:ascii="仿宋_GB2312" w:hAnsi="仿宋" w:eastAsia="仿宋_GB2312"/>
          <w:sz w:val="28"/>
          <w:szCs w:val="28"/>
        </w:rPr>
      </w:pPr>
      <w:r>
        <w:rPr>
          <w:rFonts w:hint="eastAsia" w:ascii="仿宋_GB2312" w:hAnsi="仿宋" w:eastAsia="仿宋_GB2312"/>
          <w:sz w:val="28"/>
          <w:szCs w:val="28"/>
        </w:rPr>
        <w:t>学校副科级及以上领导干部</w:t>
      </w:r>
    </w:p>
    <w:p>
      <w:pPr>
        <w:spacing w:line="520" w:lineRule="exact"/>
        <w:ind w:firstLine="640"/>
        <w:rPr>
          <w:rFonts w:ascii="黑体" w:hAnsi="黑体" w:eastAsia="黑体" w:cs="黑体"/>
          <w:sz w:val="28"/>
          <w:szCs w:val="28"/>
        </w:rPr>
      </w:pPr>
      <w:r>
        <w:rPr>
          <w:rFonts w:hint="eastAsia" w:ascii="黑体" w:hAnsi="黑体" w:eastAsia="黑体" w:cs="黑体"/>
          <w:sz w:val="28"/>
          <w:szCs w:val="28"/>
        </w:rPr>
        <w:t>三、培训方式</w:t>
      </w:r>
    </w:p>
    <w:p>
      <w:pPr>
        <w:spacing w:line="520" w:lineRule="exact"/>
        <w:ind w:firstLine="640"/>
        <w:rPr>
          <w:rFonts w:ascii="仿宋_GB2312" w:hAnsi="仿宋" w:eastAsia="仿宋_GB2312"/>
          <w:sz w:val="28"/>
          <w:szCs w:val="28"/>
        </w:rPr>
      </w:pPr>
      <w:r>
        <w:rPr>
          <w:rFonts w:hint="eastAsia" w:ascii="仿宋_GB2312" w:hAnsi="仿宋" w:eastAsia="仿宋_GB2312"/>
          <w:sz w:val="28"/>
          <w:szCs w:val="28"/>
        </w:rPr>
        <w:t>坚持线上线下、政治素质和业务能力相结合，采取集中学习、专题研讨、实践教学、测试诊断等多种方式开展。</w:t>
      </w:r>
    </w:p>
    <w:p>
      <w:pPr>
        <w:spacing w:line="520" w:lineRule="exact"/>
        <w:ind w:firstLine="640"/>
        <w:rPr>
          <w:sz w:val="28"/>
          <w:szCs w:val="28"/>
        </w:rPr>
      </w:pPr>
      <w:r>
        <w:rPr>
          <w:rFonts w:hint="eastAsia" w:ascii="黑体" w:hAnsi="黑体" w:eastAsia="黑体" w:cs="黑体"/>
          <w:sz w:val="28"/>
          <w:szCs w:val="28"/>
        </w:rPr>
        <w:t>四、培训安排</w:t>
      </w:r>
    </w:p>
    <w:tbl>
      <w:tblPr>
        <w:tblStyle w:val="6"/>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75"/>
        <w:gridCol w:w="3145"/>
        <w:gridCol w:w="1949"/>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65" w:type="dxa"/>
            <w:gridSpan w:val="2"/>
            <w:vAlign w:val="center"/>
          </w:tcPr>
          <w:p>
            <w:pPr>
              <w:spacing w:line="400" w:lineRule="exact"/>
              <w:jc w:val="center"/>
              <w:rPr>
                <w:rFonts w:ascii="宋体" w:hAnsi="宋体"/>
                <w:b/>
                <w:bCs/>
                <w:kern w:val="0"/>
                <w:sz w:val="28"/>
                <w:szCs w:val="28"/>
              </w:rPr>
            </w:pPr>
            <w:r>
              <w:rPr>
                <w:rFonts w:hint="eastAsia" w:ascii="宋体" w:hAnsi="宋体"/>
                <w:b/>
                <w:bCs/>
                <w:sz w:val="28"/>
                <w:szCs w:val="28"/>
              </w:rPr>
              <w:t>时  间</w:t>
            </w:r>
          </w:p>
        </w:tc>
        <w:tc>
          <w:tcPr>
            <w:tcW w:w="3145" w:type="dxa"/>
            <w:vAlign w:val="center"/>
          </w:tcPr>
          <w:p>
            <w:pPr>
              <w:spacing w:line="400" w:lineRule="exact"/>
              <w:jc w:val="center"/>
              <w:rPr>
                <w:rFonts w:ascii="宋体" w:hAnsi="宋体"/>
                <w:b/>
                <w:bCs/>
                <w:kern w:val="0"/>
                <w:sz w:val="28"/>
                <w:szCs w:val="28"/>
              </w:rPr>
            </w:pPr>
            <w:r>
              <w:rPr>
                <w:rFonts w:hint="eastAsia" w:ascii="宋体" w:hAnsi="宋体"/>
                <w:b/>
                <w:bCs/>
                <w:sz w:val="28"/>
                <w:szCs w:val="28"/>
              </w:rPr>
              <w:t>教学安排</w:t>
            </w:r>
          </w:p>
        </w:tc>
        <w:tc>
          <w:tcPr>
            <w:tcW w:w="1949" w:type="dxa"/>
            <w:vAlign w:val="center"/>
          </w:tcPr>
          <w:p>
            <w:pPr>
              <w:spacing w:line="400" w:lineRule="exact"/>
              <w:jc w:val="center"/>
              <w:rPr>
                <w:rFonts w:ascii="宋体" w:hAnsi="宋体"/>
                <w:b/>
                <w:bCs/>
                <w:sz w:val="28"/>
                <w:szCs w:val="28"/>
              </w:rPr>
            </w:pPr>
            <w:r>
              <w:rPr>
                <w:rFonts w:hint="eastAsia" w:ascii="宋体" w:hAnsi="宋体"/>
                <w:b/>
                <w:bCs/>
                <w:sz w:val="28"/>
                <w:szCs w:val="28"/>
              </w:rPr>
              <w:t>授课人</w:t>
            </w:r>
          </w:p>
          <w:p>
            <w:pPr>
              <w:spacing w:line="400" w:lineRule="exact"/>
              <w:jc w:val="center"/>
              <w:rPr>
                <w:rFonts w:ascii="宋体" w:hAnsi="宋体"/>
                <w:b/>
                <w:bCs/>
                <w:kern w:val="0"/>
                <w:sz w:val="28"/>
                <w:szCs w:val="28"/>
              </w:rPr>
            </w:pPr>
            <w:r>
              <w:rPr>
                <w:rFonts w:hint="eastAsia" w:ascii="宋体" w:hAnsi="宋体"/>
                <w:b/>
                <w:bCs/>
                <w:sz w:val="28"/>
                <w:szCs w:val="28"/>
              </w:rPr>
              <w:t>主持人</w:t>
            </w:r>
          </w:p>
        </w:tc>
        <w:tc>
          <w:tcPr>
            <w:tcW w:w="2095" w:type="dxa"/>
            <w:vAlign w:val="center"/>
          </w:tcPr>
          <w:p>
            <w:pPr>
              <w:spacing w:line="400" w:lineRule="exact"/>
              <w:jc w:val="center"/>
              <w:rPr>
                <w:rFonts w:ascii="宋体" w:hAnsi="宋体"/>
                <w:b/>
                <w:bCs/>
                <w:kern w:val="0"/>
                <w:sz w:val="28"/>
                <w:szCs w:val="28"/>
              </w:rPr>
            </w:pPr>
            <w:r>
              <w:rPr>
                <w:rFonts w:hint="eastAsia" w:ascii="宋体" w:hAnsi="宋体"/>
                <w:b/>
                <w:bCs/>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90" w:type="dxa"/>
            <w:vMerge w:val="restart"/>
            <w:vAlign w:val="center"/>
          </w:tcPr>
          <w:p>
            <w:pPr>
              <w:widowControl/>
              <w:jc w:val="left"/>
              <w:rPr>
                <w:rFonts w:ascii="仿宋_GB2312" w:hAnsi="宋体" w:eastAsia="仿宋_GB2312"/>
                <w:spacing w:val="-6"/>
                <w:kern w:val="0"/>
                <w:sz w:val="24"/>
              </w:rPr>
            </w:pPr>
            <w:r>
              <w:rPr>
                <w:rFonts w:hint="eastAsia" w:ascii="仿宋_GB2312" w:hAnsi="宋体" w:eastAsia="仿宋_GB2312"/>
                <w:spacing w:val="-6"/>
                <w:kern w:val="0"/>
                <w:sz w:val="24"/>
              </w:rPr>
              <w:t>专题讲座</w:t>
            </w:r>
          </w:p>
        </w:tc>
        <w:tc>
          <w:tcPr>
            <w:tcW w:w="1575" w:type="dxa"/>
            <w:vAlign w:val="center"/>
          </w:tcPr>
          <w:p>
            <w:pPr>
              <w:widowControl/>
              <w:spacing w:line="40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12月22日</w:t>
            </w:r>
          </w:p>
          <w:p>
            <w:pPr>
              <w:widowControl/>
              <w:spacing w:line="40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（周三）</w:t>
            </w:r>
          </w:p>
          <w:p>
            <w:pPr>
              <w:widowControl/>
              <w:spacing w:line="400" w:lineRule="exact"/>
              <w:jc w:val="center"/>
              <w:rPr>
                <w:rFonts w:ascii="仿宋_GB2312" w:hAnsi="宋体" w:eastAsia="仿宋_GB2312"/>
                <w:kern w:val="0"/>
                <w:sz w:val="24"/>
              </w:rPr>
            </w:pPr>
            <w:r>
              <w:rPr>
                <w:rFonts w:hint="eastAsia" w:ascii="仿宋_GB2312" w:hAnsi="宋体" w:eastAsia="仿宋_GB2312"/>
                <w:sz w:val="24"/>
              </w:rPr>
              <w:t>下午3:00-</w:t>
            </w:r>
            <w:r>
              <w:rPr>
                <w:rFonts w:hint="eastAsia" w:ascii="仿宋_GB2312" w:hAnsi="宋体" w:eastAsia="仿宋_GB2312"/>
                <w:kern w:val="0"/>
                <w:sz w:val="24"/>
              </w:rPr>
              <w:t>5:00</w:t>
            </w:r>
          </w:p>
        </w:tc>
        <w:tc>
          <w:tcPr>
            <w:tcW w:w="3145" w:type="dxa"/>
            <w:vAlign w:val="center"/>
          </w:tcPr>
          <w:p>
            <w:pPr>
              <w:spacing w:line="400" w:lineRule="exact"/>
              <w:jc w:val="left"/>
              <w:rPr>
                <w:rFonts w:ascii="仿宋_GB2312" w:hAnsi="宋体" w:eastAsia="仿宋_GB2312"/>
                <w:sz w:val="24"/>
              </w:rPr>
            </w:pPr>
            <w:r>
              <w:rPr>
                <w:rFonts w:hint="eastAsia" w:ascii="仿宋_GB2312" w:hAnsi="宋体" w:eastAsia="仿宋_GB2312" w:cs="仿宋"/>
                <w:sz w:val="24"/>
              </w:rPr>
              <w:t>专题报告一：《光辉历程的科学总结 勇毅前行的正确指引——党的百年奋斗的三个历史决议》为题</w:t>
            </w:r>
          </w:p>
        </w:tc>
        <w:tc>
          <w:tcPr>
            <w:tcW w:w="1949"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cs="仿宋"/>
                <w:kern w:val="0"/>
                <w:sz w:val="24"/>
              </w:rPr>
              <w:t xml:space="preserve"> 郑传芳（党史学习教育省委第一巡回指导组组长、我校特聘教授）</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ascii="仿宋_GB2312" w:hAnsi="宋体" w:eastAsia="仿宋_GB2312"/>
                <w:spacing w:val="-6"/>
                <w:kern w:val="0"/>
                <w:sz w:val="24"/>
              </w:rPr>
            </w:pPr>
            <w:r>
              <w:rPr>
                <w:rFonts w:hint="eastAsia" w:ascii="仿宋_GB2312" w:hAnsi="宋体" w:eastAsia="仿宋_GB2312"/>
                <w:sz w:val="24"/>
              </w:rPr>
              <w:t>12月30日（周四）上午9:00-11:00</w:t>
            </w:r>
          </w:p>
        </w:tc>
        <w:tc>
          <w:tcPr>
            <w:tcW w:w="3145" w:type="dxa"/>
            <w:vAlign w:val="center"/>
          </w:tcPr>
          <w:p>
            <w:pPr>
              <w:pStyle w:val="29"/>
              <w:rPr>
                <w:rFonts w:ascii="仿宋_GB2312" w:hAnsi="宋体" w:eastAsia="仿宋_GB2312"/>
              </w:rPr>
            </w:pPr>
            <w:r>
              <w:rPr>
                <w:rFonts w:hint="eastAsia" w:ascii="仿宋_GB2312" w:hAnsi="宋体" w:eastAsia="仿宋_GB2312" w:cs="仿宋"/>
              </w:rPr>
              <w:t>专题报告二：</w:t>
            </w:r>
            <w:r>
              <w:rPr>
                <w:rFonts w:ascii="仿宋_GB2312" w:hAnsi="仿宋_GB2312" w:eastAsia="仿宋_GB2312" w:cs="仿宋_GB2312"/>
                <w:color w:val="333333"/>
              </w:rPr>
              <w:t>《落实中央八项规定精神，让全面从严治党在基层扎根》</w:t>
            </w:r>
          </w:p>
        </w:tc>
        <w:tc>
          <w:tcPr>
            <w:tcW w:w="1949"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cs="仿宋"/>
                <w:color w:val="auto"/>
                <w:kern w:val="0"/>
                <w:sz w:val="24"/>
              </w:rPr>
              <w:t xml:space="preserve"> </w:t>
            </w:r>
            <w:r>
              <w:rPr>
                <w:rFonts w:ascii="仿宋_GB2312" w:hAnsi="仿宋_GB2312" w:eastAsia="仿宋_GB2312" w:cs="仿宋_GB2312"/>
                <w:color w:val="auto"/>
                <w:sz w:val="24"/>
              </w:rPr>
              <w:t>陈群</w:t>
            </w:r>
            <w:r>
              <w:rPr>
                <w:rFonts w:hint="eastAsia" w:ascii="仿宋_GB2312" w:hAnsi="仿宋_GB2312" w:eastAsia="仿宋_GB2312" w:cs="仿宋_GB2312"/>
                <w:color w:val="auto"/>
                <w:sz w:val="24"/>
              </w:rPr>
              <w:t>（</w:t>
            </w:r>
            <w:r>
              <w:rPr>
                <w:rFonts w:ascii="仿宋_GB2312" w:hAnsi="仿宋_GB2312" w:eastAsia="仿宋_GB2312" w:cs="仿宋_GB2312"/>
                <w:color w:val="auto"/>
                <w:sz w:val="24"/>
              </w:rPr>
              <w:t>闽江师范高等专科学校党委委员、纪委书记</w:t>
            </w:r>
            <w:r>
              <w:rPr>
                <w:rFonts w:hint="eastAsia" w:ascii="仿宋_GB2312" w:hAnsi="仿宋_GB2312" w:eastAsia="仿宋_GB2312" w:cs="仿宋_GB2312"/>
                <w:color w:val="auto"/>
                <w:sz w:val="24"/>
              </w:rPr>
              <w:t>）</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月中旬</w:t>
            </w:r>
          </w:p>
        </w:tc>
        <w:tc>
          <w:tcPr>
            <w:tcW w:w="3145" w:type="dxa"/>
            <w:vAlign w:val="center"/>
          </w:tcPr>
          <w:p>
            <w:pPr>
              <w:pStyle w:val="29"/>
              <w:rPr>
                <w:rFonts w:hint="eastAsia" w:ascii="仿宋_GB2312" w:hAnsi="宋体" w:eastAsia="仿宋_GB2312" w:cs="仿宋"/>
              </w:rPr>
            </w:pPr>
            <w:r>
              <w:rPr>
                <w:rFonts w:hint="eastAsia" w:ascii="仿宋_GB2312" w:hAnsi="宋体" w:eastAsia="仿宋_GB2312" w:cs="仿宋"/>
              </w:rPr>
              <w:t>专题报告</w:t>
            </w:r>
            <w:r>
              <w:rPr>
                <w:rFonts w:hint="eastAsia" w:ascii="仿宋_GB2312" w:hAnsi="宋体" w:eastAsia="仿宋_GB2312" w:cs="仿宋"/>
                <w:lang w:eastAsia="zh-CN"/>
              </w:rPr>
              <w:t>三</w:t>
            </w:r>
            <w:r>
              <w:rPr>
                <w:rFonts w:hint="eastAsia" w:ascii="仿宋_GB2312" w:hAnsi="宋体" w:eastAsia="仿宋_GB2312" w:cs="仿宋"/>
              </w:rPr>
              <w:t>：《习近平总书记在福州工作期间的理论创新与实践探索》</w:t>
            </w:r>
          </w:p>
        </w:tc>
        <w:tc>
          <w:tcPr>
            <w:tcW w:w="1949" w:type="dxa"/>
            <w:vAlign w:val="center"/>
          </w:tcPr>
          <w:p>
            <w:pPr>
              <w:widowControl/>
              <w:spacing w:line="400" w:lineRule="exact"/>
              <w:jc w:val="center"/>
              <w:rPr>
                <w:rFonts w:hint="eastAsia" w:ascii="仿宋_GB2312" w:hAnsi="宋体" w:eastAsia="仿宋_GB2312" w:cs="仿宋"/>
                <w:kern w:val="0"/>
                <w:sz w:val="24"/>
              </w:rPr>
            </w:pPr>
            <w:r>
              <w:rPr>
                <w:rFonts w:hint="eastAsia" w:ascii="仿宋_GB2312" w:hAnsi="仿宋_GB2312" w:eastAsia="仿宋_GB2312" w:cs="仿宋_GB2312"/>
                <w:color w:val="333333"/>
                <w:sz w:val="24"/>
              </w:rPr>
              <w:t>林善炜（福州市委党校经济教研室教授）</w:t>
            </w:r>
          </w:p>
        </w:tc>
        <w:tc>
          <w:tcPr>
            <w:tcW w:w="2095" w:type="dxa"/>
            <w:vAlign w:val="center"/>
          </w:tcPr>
          <w:p>
            <w:pPr>
              <w:widowControl/>
              <w:spacing w:line="400" w:lineRule="exact"/>
              <w:jc w:val="center"/>
              <w:rPr>
                <w:rFonts w:hint="eastAsia"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sz w:val="24"/>
              </w:rPr>
              <w:t>月中旬</w:t>
            </w:r>
          </w:p>
        </w:tc>
        <w:tc>
          <w:tcPr>
            <w:tcW w:w="3145" w:type="dxa"/>
            <w:vAlign w:val="center"/>
          </w:tcPr>
          <w:p>
            <w:pPr>
              <w:pStyle w:val="29"/>
              <w:rPr>
                <w:rFonts w:ascii="仿宋_GB2312" w:hAnsi="宋体" w:eastAsia="仿宋_GB2312" w:cs="仿宋"/>
              </w:rPr>
            </w:pPr>
            <w:r>
              <w:rPr>
                <w:rFonts w:hint="eastAsia" w:ascii="仿宋_GB2312" w:hAnsi="宋体" w:eastAsia="仿宋_GB2312" w:cs="仿宋"/>
              </w:rPr>
              <w:t>专题报告</w:t>
            </w:r>
            <w:r>
              <w:rPr>
                <w:rFonts w:hint="eastAsia" w:ascii="仿宋_GB2312" w:hAnsi="宋体" w:eastAsia="仿宋_GB2312" w:cs="仿宋"/>
                <w:lang w:eastAsia="zh-CN"/>
              </w:rPr>
              <w:t>四</w:t>
            </w:r>
            <w:r>
              <w:rPr>
                <w:rFonts w:hint="eastAsia" w:ascii="仿宋_GB2312" w:hAnsi="宋体" w:eastAsia="仿宋_GB2312" w:cs="仿宋"/>
              </w:rPr>
              <w:t>：《全面推进课程思政建设的政策解读和实施路径》</w:t>
            </w:r>
          </w:p>
        </w:tc>
        <w:tc>
          <w:tcPr>
            <w:tcW w:w="1949" w:type="dxa"/>
            <w:vAlign w:val="center"/>
          </w:tcPr>
          <w:p>
            <w:pPr>
              <w:widowControl/>
              <w:spacing w:line="400" w:lineRule="exact"/>
              <w:jc w:val="center"/>
              <w:rPr>
                <w:rFonts w:ascii="仿宋_GB2312" w:hAnsi="宋体" w:eastAsia="仿宋_GB2312" w:cs="仿宋"/>
                <w:kern w:val="0"/>
                <w:sz w:val="24"/>
              </w:rPr>
            </w:pPr>
            <w:r>
              <w:rPr>
                <w:rFonts w:hint="eastAsia" w:ascii="仿宋_GB2312" w:hAnsi="仿宋_GB2312" w:eastAsia="仿宋_GB2312" w:cs="仿宋_GB2312"/>
                <w:color w:val="333333"/>
                <w:sz w:val="24"/>
              </w:rPr>
              <w:t>张友坤（福州大学教务处副处长、</w:t>
            </w:r>
            <w:r>
              <w:rPr>
                <w:rFonts w:ascii="仿宋_GB2312" w:hAnsi="仿宋_GB2312" w:eastAsia="仿宋_GB2312" w:cs="仿宋_GB2312"/>
                <w:color w:val="333333"/>
                <w:sz w:val="24"/>
              </w:rPr>
              <w:t>福课联盟副秘书长</w:t>
            </w:r>
            <w:r>
              <w:rPr>
                <w:rFonts w:hint="eastAsia" w:ascii="仿宋_GB2312" w:hAnsi="仿宋_GB2312" w:eastAsia="仿宋_GB2312" w:cs="仿宋_GB2312"/>
                <w:color w:val="333333"/>
                <w:sz w:val="24"/>
              </w:rPr>
              <w:t>）</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月中旬</w:t>
            </w:r>
          </w:p>
        </w:tc>
        <w:tc>
          <w:tcPr>
            <w:tcW w:w="3145" w:type="dxa"/>
            <w:vAlign w:val="center"/>
          </w:tcPr>
          <w:p>
            <w:pPr>
              <w:pStyle w:val="29"/>
              <w:rPr>
                <w:rFonts w:ascii="仿宋_GB2312" w:hAnsi="宋体" w:eastAsia="仿宋_GB2312" w:cs="仿宋"/>
              </w:rPr>
            </w:pPr>
            <w:r>
              <w:rPr>
                <w:rFonts w:hint="eastAsia" w:ascii="仿宋_GB2312" w:hAnsi="宋体" w:eastAsia="仿宋_GB2312" w:cs="仿宋"/>
              </w:rPr>
              <w:t>专题报告</w:t>
            </w:r>
            <w:r>
              <w:rPr>
                <w:rFonts w:hint="eastAsia" w:ascii="仿宋_GB2312" w:hAnsi="宋体" w:eastAsia="仿宋_GB2312" w:cs="仿宋"/>
                <w:lang w:eastAsia="zh-CN"/>
              </w:rPr>
              <w:t>五</w:t>
            </w:r>
            <w:r>
              <w:rPr>
                <w:rFonts w:hint="eastAsia" w:ascii="仿宋_GB2312" w:hAnsi="宋体" w:eastAsia="仿宋_GB2312" w:cs="仿宋"/>
              </w:rPr>
              <w:t>：《我党百年经济建设经验总结及新时代习近平原创性经济思想——党的十九届六中全会精神解读》</w:t>
            </w:r>
          </w:p>
        </w:tc>
        <w:tc>
          <w:tcPr>
            <w:tcW w:w="194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color w:val="333333"/>
                <w:sz w:val="24"/>
              </w:rPr>
            </w:pPr>
            <w:r>
              <w:rPr>
                <w:rFonts w:hint="eastAsia" w:ascii="仿宋_GB2312" w:hAnsi="仿宋_GB2312" w:eastAsia="仿宋_GB2312" w:cs="仿宋_GB2312"/>
                <w:color w:val="333333"/>
                <w:sz w:val="24"/>
              </w:rPr>
              <w:t>陈新（福建省委党校、省行政学院经济学教研部副主任，省证券经济研究会副会长，省人大财经工作专家咨询组专家，省委宣传部首批新时代宣讲师，省高校政治理论课特聘教授）</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restart"/>
            <w:vAlign w:val="center"/>
          </w:tcPr>
          <w:p>
            <w:pPr>
              <w:widowControl/>
              <w:jc w:val="left"/>
              <w:rPr>
                <w:rFonts w:ascii="仿宋_GB2312" w:hAnsi="宋体" w:eastAsia="仿宋_GB2312" w:cs="仿宋"/>
                <w:kern w:val="0"/>
                <w:sz w:val="24"/>
              </w:rPr>
            </w:pPr>
            <w:r>
              <w:rPr>
                <w:rFonts w:hint="eastAsia" w:ascii="仿宋_GB2312" w:hAnsi="宋体" w:eastAsia="仿宋_GB2312" w:cs="仿宋"/>
                <w:kern w:val="0"/>
                <w:sz w:val="24"/>
              </w:rPr>
              <w:t>研讨</w:t>
            </w:r>
          </w:p>
          <w:p>
            <w:pPr>
              <w:pStyle w:val="2"/>
              <w:ind w:firstLine="0" w:firstLineChars="0"/>
            </w:pPr>
            <w:r>
              <w:rPr>
                <w:rFonts w:hint="eastAsia" w:ascii="仿宋_GB2312" w:hAnsi="宋体" w:eastAsia="仿宋_GB2312" w:cs="仿宋"/>
                <w:sz w:val="24"/>
                <w:szCs w:val="24"/>
              </w:rPr>
              <w:t>交流</w:t>
            </w: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3月下旬</w:t>
            </w:r>
          </w:p>
        </w:tc>
        <w:tc>
          <w:tcPr>
            <w:tcW w:w="7189" w:type="dxa"/>
            <w:gridSpan w:val="3"/>
            <w:vAlign w:val="center"/>
          </w:tcPr>
          <w:p>
            <w:pPr>
              <w:widowControl/>
              <w:spacing w:line="400" w:lineRule="exact"/>
              <w:jc w:val="left"/>
              <w:rPr>
                <w:rFonts w:ascii="仿宋_GB2312" w:hAnsi="宋体" w:eastAsia="仿宋_GB2312"/>
                <w:kern w:val="0"/>
                <w:sz w:val="24"/>
              </w:rPr>
            </w:pPr>
            <w:r>
              <w:rPr>
                <w:rFonts w:hint="eastAsia" w:ascii="仿宋_GB2312" w:hAnsi="宋体" w:eastAsia="仿宋_GB2312" w:cs="仿宋"/>
                <w:sz w:val="24"/>
              </w:rPr>
              <w:t>结合工作实际，重点学习党的十九届六中全会公报和《中共中央关于党的百年奋斗重大成就和历史经验的决议》精神，开展书面研讨交流，并将书面研讨材料交党委组织部。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6月中旬</w:t>
            </w:r>
          </w:p>
        </w:tc>
        <w:tc>
          <w:tcPr>
            <w:tcW w:w="3145" w:type="dxa"/>
            <w:vAlign w:val="center"/>
          </w:tcPr>
          <w:p>
            <w:pPr>
              <w:pStyle w:val="29"/>
              <w:rPr>
                <w:rFonts w:ascii="仿宋_GB2312" w:hAnsi="宋体" w:eastAsia="仿宋_GB2312" w:cs="仿宋"/>
              </w:rPr>
            </w:pPr>
            <w:r>
              <w:rPr>
                <w:rFonts w:hint="eastAsia" w:ascii="仿宋_GB2312" w:hAnsi="宋体" w:eastAsia="仿宋_GB2312" w:cs="仿宋"/>
              </w:rPr>
              <w:t>根据培训实际情况，组织开展研讨交流汇报会，总结学习成效。</w:t>
            </w:r>
          </w:p>
        </w:tc>
        <w:tc>
          <w:tcPr>
            <w:tcW w:w="1949" w:type="dxa"/>
            <w:vAlign w:val="center"/>
          </w:tcPr>
          <w:p>
            <w:pPr>
              <w:widowControl/>
              <w:spacing w:line="400" w:lineRule="exact"/>
              <w:jc w:val="center"/>
              <w:rPr>
                <w:rFonts w:ascii="仿宋_GB2312" w:hAnsi="仿宋_GB2312" w:eastAsia="仿宋_GB2312" w:cs="仿宋_GB2312"/>
                <w:color w:val="333333"/>
                <w:sz w:val="24"/>
              </w:rPr>
            </w:pPr>
            <w:r>
              <w:rPr>
                <w:rFonts w:hint="eastAsia" w:ascii="仿宋_GB2312" w:hAnsi="仿宋_GB2312" w:eastAsia="仿宋_GB2312" w:cs="仿宋_GB2312"/>
                <w:color w:val="333333"/>
                <w:sz w:val="24"/>
              </w:rPr>
              <w:t>林子波</w:t>
            </w:r>
          </w:p>
          <w:p>
            <w:pPr>
              <w:widowControl/>
              <w:spacing w:line="400" w:lineRule="exact"/>
              <w:jc w:val="center"/>
              <w:rPr>
                <w:rFonts w:ascii="仿宋_GB2312" w:hAnsi="仿宋_GB2312" w:eastAsia="仿宋_GB2312" w:cs="仿宋_GB2312"/>
                <w:color w:val="333333"/>
                <w:sz w:val="24"/>
                <w:shd w:val="clear" w:color="auto" w:fill="F8F6F7"/>
              </w:rPr>
            </w:pPr>
            <w:r>
              <w:rPr>
                <w:rFonts w:hint="eastAsia" w:ascii="仿宋_GB2312" w:hAnsi="仿宋_GB2312" w:eastAsia="仿宋_GB2312" w:cs="仿宋_GB2312"/>
                <w:color w:val="333333"/>
                <w:sz w:val="24"/>
              </w:rPr>
              <w:t>学员代表</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90" w:type="dxa"/>
            <w:vMerge w:val="restart"/>
            <w:vAlign w:val="center"/>
          </w:tcPr>
          <w:p>
            <w:pPr>
              <w:widowControl/>
              <w:jc w:val="left"/>
              <w:rPr>
                <w:rFonts w:ascii="仿宋_GB2312" w:hAnsi="宋体" w:eastAsia="仿宋_GB2312"/>
                <w:spacing w:val="-6"/>
                <w:kern w:val="0"/>
                <w:sz w:val="24"/>
              </w:rPr>
            </w:pPr>
            <w:r>
              <w:rPr>
                <w:rFonts w:hint="eastAsia" w:ascii="仿宋_GB2312" w:hAnsi="宋体" w:eastAsia="仿宋_GB2312"/>
                <w:spacing w:val="-6"/>
                <w:kern w:val="0"/>
                <w:sz w:val="24"/>
              </w:rPr>
              <w:t>实践教学</w:t>
            </w: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3月8日</w:t>
            </w:r>
          </w:p>
        </w:tc>
        <w:tc>
          <w:tcPr>
            <w:tcW w:w="3145" w:type="dxa"/>
            <w:vAlign w:val="center"/>
          </w:tcPr>
          <w:p>
            <w:pPr>
              <w:spacing w:line="400" w:lineRule="exact"/>
              <w:jc w:val="left"/>
              <w:rPr>
                <w:rFonts w:ascii="仿宋_GB2312" w:hAnsi="宋体" w:eastAsia="仿宋_GB2312"/>
                <w:kern w:val="0"/>
                <w:sz w:val="24"/>
              </w:rPr>
            </w:pPr>
            <w:r>
              <w:rPr>
                <w:rFonts w:hint="eastAsia" w:ascii="仿宋_GB2312" w:hAnsi="宋体" w:eastAsia="仿宋_GB2312"/>
                <w:kern w:val="0"/>
                <w:sz w:val="24"/>
              </w:rPr>
              <w:t>赴闽江学院特色档案馆现场教学</w:t>
            </w:r>
          </w:p>
        </w:tc>
        <w:tc>
          <w:tcPr>
            <w:tcW w:w="1949"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宣传统战部</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闽江学院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90" w:type="dxa"/>
            <w:vMerge w:val="continue"/>
            <w:vAlign w:val="center"/>
          </w:tcPr>
          <w:p>
            <w:pPr>
              <w:widowControl/>
              <w:jc w:val="left"/>
              <w:rPr>
                <w:rFonts w:ascii="仿宋_GB2312" w:hAnsi="宋体" w:eastAsia="仿宋_GB2312"/>
                <w:spacing w:val="-6"/>
                <w:kern w:val="0"/>
                <w:sz w:val="24"/>
              </w:rPr>
            </w:pPr>
          </w:p>
        </w:tc>
        <w:tc>
          <w:tcPr>
            <w:tcW w:w="1575" w:type="dxa"/>
            <w:vAlign w:val="center"/>
          </w:tcPr>
          <w:p>
            <w:pPr>
              <w:widowControl/>
              <w:spacing w:line="400" w:lineRule="exact"/>
              <w:jc w:val="center"/>
              <w:rPr>
                <w:rFonts w:ascii="仿宋_GB2312" w:hAnsi="宋体" w:eastAsia="仿宋_GB2312"/>
                <w:spacing w:val="-6"/>
                <w:kern w:val="0"/>
                <w:sz w:val="24"/>
              </w:rPr>
            </w:pPr>
            <w:r>
              <w:rPr>
                <w:rFonts w:hint="eastAsia" w:ascii="仿宋_GB2312" w:hAnsi="宋体" w:eastAsia="仿宋_GB2312"/>
                <w:spacing w:val="-6"/>
                <w:kern w:val="0"/>
                <w:sz w:val="24"/>
              </w:rPr>
              <w:t>4月2</w:t>
            </w:r>
            <w:r>
              <w:rPr>
                <w:rFonts w:hint="eastAsia" w:ascii="仿宋_GB2312" w:hAnsi="宋体" w:eastAsia="仿宋_GB2312"/>
                <w:spacing w:val="-6"/>
                <w:kern w:val="0"/>
                <w:sz w:val="24"/>
                <w:lang w:val="en-US" w:eastAsia="zh-CN"/>
              </w:rPr>
              <w:t>1</w:t>
            </w:r>
            <w:r>
              <w:rPr>
                <w:rFonts w:hint="eastAsia" w:ascii="仿宋_GB2312" w:hAnsi="宋体" w:eastAsia="仿宋_GB2312"/>
                <w:spacing w:val="-6"/>
                <w:kern w:val="0"/>
                <w:sz w:val="24"/>
              </w:rPr>
              <w:t>日</w:t>
            </w:r>
          </w:p>
          <w:p>
            <w:pPr>
              <w:widowControl/>
              <w:spacing w:line="400" w:lineRule="exact"/>
              <w:jc w:val="center"/>
              <w:rPr>
                <w:rFonts w:ascii="仿宋_GB2312" w:hAnsi="宋体" w:eastAsia="仿宋_GB2312"/>
                <w:sz w:val="24"/>
              </w:rPr>
            </w:pPr>
            <w:r>
              <w:rPr>
                <w:rFonts w:hint="eastAsia" w:ascii="仿宋_GB2312" w:hAnsi="宋体" w:eastAsia="仿宋_GB2312"/>
                <w:spacing w:val="-6"/>
                <w:kern w:val="0"/>
                <w:sz w:val="24"/>
              </w:rPr>
              <w:t>-2</w:t>
            </w:r>
            <w:r>
              <w:rPr>
                <w:rFonts w:hint="eastAsia" w:ascii="仿宋_GB2312" w:hAnsi="宋体" w:eastAsia="仿宋_GB2312"/>
                <w:spacing w:val="-6"/>
                <w:kern w:val="0"/>
                <w:sz w:val="24"/>
                <w:lang w:val="en-US" w:eastAsia="zh-CN"/>
              </w:rPr>
              <w:t>2</w:t>
            </w:r>
            <w:r>
              <w:rPr>
                <w:rFonts w:hint="eastAsia" w:ascii="仿宋_GB2312" w:hAnsi="宋体" w:eastAsia="仿宋_GB2312"/>
                <w:spacing w:val="-6"/>
                <w:kern w:val="0"/>
                <w:sz w:val="24"/>
              </w:rPr>
              <w:t>日</w:t>
            </w:r>
          </w:p>
        </w:tc>
        <w:tc>
          <w:tcPr>
            <w:tcW w:w="3145" w:type="dxa"/>
            <w:vAlign w:val="center"/>
          </w:tcPr>
          <w:p>
            <w:pPr>
              <w:spacing w:line="400" w:lineRule="exact"/>
              <w:jc w:val="left"/>
              <w:rPr>
                <w:rFonts w:ascii="仿宋_GB2312" w:hAnsi="宋体" w:eastAsia="仿宋_GB2312"/>
                <w:kern w:val="0"/>
                <w:sz w:val="24"/>
                <w:highlight w:val="yellow"/>
              </w:rPr>
            </w:pPr>
            <w:r>
              <w:rPr>
                <w:rFonts w:hint="eastAsia" w:ascii="仿宋_GB2312" w:hAnsi="宋体" w:eastAsia="仿宋_GB2312"/>
                <w:kern w:val="0"/>
                <w:sz w:val="24"/>
              </w:rPr>
              <w:t>赴下党乡实践教学点现场教学</w:t>
            </w:r>
          </w:p>
        </w:tc>
        <w:tc>
          <w:tcPr>
            <w:tcW w:w="1949"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组织部</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宁德下党乡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90" w:type="dxa"/>
            <w:vAlign w:val="center"/>
          </w:tcPr>
          <w:p>
            <w:pPr>
              <w:widowControl/>
              <w:spacing w:line="400" w:lineRule="exact"/>
              <w:jc w:val="center"/>
              <w:rPr>
                <w:rFonts w:ascii="仿宋_GB2312" w:hAnsi="宋体" w:eastAsia="仿宋_GB2312"/>
                <w:spacing w:val="-6"/>
                <w:kern w:val="0"/>
                <w:sz w:val="24"/>
              </w:rPr>
            </w:pPr>
            <w:r>
              <w:rPr>
                <w:rFonts w:hint="eastAsia" w:ascii="仿宋_GB2312" w:hAnsi="宋体" w:eastAsia="仿宋_GB2312"/>
                <w:sz w:val="24"/>
              </w:rPr>
              <w:t>在线学习</w:t>
            </w: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2021年12月25日至2022年4月30日</w:t>
            </w:r>
          </w:p>
        </w:tc>
        <w:tc>
          <w:tcPr>
            <w:tcW w:w="7189" w:type="dxa"/>
            <w:gridSpan w:val="3"/>
            <w:vAlign w:val="center"/>
          </w:tcPr>
          <w:p>
            <w:pPr>
              <w:widowControl/>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1.校领导</w:t>
            </w:r>
            <w:r>
              <w:rPr>
                <w:rFonts w:hint="eastAsia" w:ascii="仿宋_GB2312" w:hAnsi="仿宋_GB2312" w:eastAsia="仿宋_GB2312" w:cs="仿宋_GB2312"/>
                <w:sz w:val="24"/>
              </w:rPr>
              <w:t>登录福建干部网络学院</w:t>
            </w:r>
            <w:r>
              <w:rPr>
                <w:rFonts w:hint="eastAsia" w:ascii="仿宋_GB2312" w:hAnsi="仿宋_GB2312" w:eastAsia="仿宋_GB2312" w:cs="仿宋_GB2312"/>
                <w:color w:val="000000"/>
                <w:sz w:val="24"/>
              </w:rPr>
              <w:t>参加“福州市市管干部学习贯彻党的十九届六中全会精神网络专题培训班”学习，合计16学时（</w:t>
            </w:r>
            <w:r>
              <w:rPr>
                <w:rFonts w:hint="eastAsia" w:ascii="仿宋_GB2312" w:hAnsi="宋体" w:eastAsia="仿宋_GB2312"/>
                <w:sz w:val="24"/>
              </w:rPr>
              <w:t>2021年12月20日至2022年3月31日）</w:t>
            </w:r>
            <w:r>
              <w:rPr>
                <w:rFonts w:hint="eastAsia" w:ascii="仿宋_GB2312" w:hAnsi="仿宋_GB2312" w:eastAsia="仿宋_GB2312" w:cs="仿宋_GB2312"/>
                <w:color w:val="000000"/>
                <w:sz w:val="24"/>
              </w:rPr>
              <w:t>；</w:t>
            </w:r>
          </w:p>
          <w:p>
            <w:pPr>
              <w:widowControl/>
              <w:spacing w:line="400" w:lineRule="exact"/>
              <w:jc w:val="left"/>
              <w:rPr>
                <w:rFonts w:ascii="仿宋_GB2312" w:hAnsi="宋体" w:eastAsia="仿宋_GB2312"/>
                <w:kern w:val="0"/>
                <w:szCs w:val="21"/>
              </w:rPr>
            </w:pPr>
            <w:r>
              <w:rPr>
                <w:rFonts w:hint="eastAsia" w:ascii="仿宋_GB2312" w:hAnsi="仿宋_GB2312" w:eastAsia="仿宋_GB2312" w:cs="仿宋_GB2312"/>
                <w:sz w:val="24"/>
              </w:rPr>
              <w:t>2.副科级及以上校管干部登录福建干部网络学院参加</w:t>
            </w:r>
            <w:r>
              <w:rPr>
                <w:rFonts w:hint="eastAsia" w:ascii="仿宋_GB2312" w:hAnsi="仿宋_GB2312" w:eastAsia="仿宋_GB2312" w:cs="仿宋_GB2312"/>
                <w:color w:val="000000"/>
                <w:sz w:val="24"/>
              </w:rPr>
              <w:t>“福州市科级及以下干部学习贯彻党的十九届六中全会精神网络专题培训班”学习，合计16学时（</w:t>
            </w:r>
            <w:r>
              <w:rPr>
                <w:rFonts w:hint="eastAsia" w:ascii="仿宋_GB2312" w:hAnsi="宋体" w:eastAsia="仿宋_GB2312"/>
                <w:sz w:val="24"/>
              </w:rPr>
              <w:t>2021年12月20日至2022年4月30日）</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0" w:type="dxa"/>
            <w:vAlign w:val="center"/>
          </w:tcPr>
          <w:p>
            <w:pPr>
              <w:widowControl/>
              <w:jc w:val="left"/>
              <w:rPr>
                <w:rFonts w:ascii="仿宋_GB2312" w:hAnsi="宋体" w:eastAsia="仿宋_GB2312"/>
                <w:spacing w:val="-6"/>
                <w:kern w:val="0"/>
                <w:sz w:val="24"/>
              </w:rPr>
            </w:pPr>
            <w:r>
              <w:rPr>
                <w:rFonts w:hint="eastAsia" w:ascii="仿宋_GB2312" w:hAnsi="宋体" w:eastAsia="仿宋_GB2312"/>
                <w:spacing w:val="-6"/>
                <w:kern w:val="0"/>
                <w:sz w:val="24"/>
              </w:rPr>
              <w:t>个人自学</w:t>
            </w: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长期坚持</w:t>
            </w:r>
          </w:p>
        </w:tc>
        <w:tc>
          <w:tcPr>
            <w:tcW w:w="7189" w:type="dxa"/>
            <w:gridSpan w:val="3"/>
            <w:vAlign w:val="center"/>
          </w:tcPr>
          <w:p>
            <w:pPr>
              <w:widowControl/>
              <w:spacing w:line="400" w:lineRule="exact"/>
              <w:jc w:val="left"/>
              <w:rPr>
                <w:rFonts w:ascii="仿宋_GB2312" w:hAnsi="宋体" w:eastAsia="仿宋_GB2312"/>
                <w:kern w:val="0"/>
                <w:szCs w:val="21"/>
              </w:rPr>
            </w:pPr>
            <w:r>
              <w:rPr>
                <w:rFonts w:hint="eastAsia" w:ascii="仿宋_GB2312" w:hAnsi="仿宋_GB2312" w:eastAsia="仿宋_GB2312" w:cs="仿宋_GB2312"/>
                <w:sz w:val="24"/>
              </w:rPr>
              <w:t>全体干部自学《中国共产党第十九届中央委员会第六次全体会议公报》、《中共中央关于党的百年奋斗重大成就和历史经验的决议》、习近平总书记关于《中共中央关于党的百年奋斗重大成就和历史经验的决议》的说明、《中国共产党福建省第十一次代表大会关于中国共产党福建省第十届委员会报告的决议》、《中共福建省委关于深刻领会党的百年奋斗重大成就和历史经验，汇聚福建发展强大精神动力的决定》以及《二十世纪中国史纲》（第一至四卷）、《中国党史十二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90" w:type="dxa"/>
            <w:vAlign w:val="center"/>
          </w:tcPr>
          <w:p>
            <w:pPr>
              <w:widowControl/>
              <w:jc w:val="left"/>
              <w:rPr>
                <w:rFonts w:ascii="仿宋_GB2312" w:hAnsi="宋体" w:eastAsia="仿宋_GB2312"/>
                <w:spacing w:val="-6"/>
                <w:kern w:val="0"/>
                <w:sz w:val="24"/>
              </w:rPr>
            </w:pPr>
            <w:r>
              <w:rPr>
                <w:rFonts w:hint="eastAsia" w:ascii="仿宋_GB2312" w:hAnsi="宋体" w:eastAsia="仿宋_GB2312"/>
                <w:spacing w:val="-6"/>
                <w:kern w:val="0"/>
                <w:sz w:val="24"/>
              </w:rPr>
              <w:t>结业式</w:t>
            </w:r>
          </w:p>
        </w:tc>
        <w:tc>
          <w:tcPr>
            <w:tcW w:w="1575" w:type="dxa"/>
            <w:vAlign w:val="center"/>
          </w:tcPr>
          <w:p>
            <w:pPr>
              <w:widowControl/>
              <w:spacing w:line="400" w:lineRule="exact"/>
              <w:jc w:val="center"/>
              <w:rPr>
                <w:rFonts w:ascii="仿宋_GB2312" w:hAnsi="宋体" w:eastAsia="仿宋_GB2312"/>
                <w:sz w:val="24"/>
              </w:rPr>
            </w:pPr>
            <w:r>
              <w:rPr>
                <w:rFonts w:hint="eastAsia" w:ascii="仿宋_GB2312" w:hAnsi="宋体" w:eastAsia="仿宋_GB2312"/>
                <w:sz w:val="24"/>
              </w:rPr>
              <w:t>6月中旬</w:t>
            </w:r>
          </w:p>
        </w:tc>
        <w:tc>
          <w:tcPr>
            <w:tcW w:w="3145" w:type="dxa"/>
            <w:vAlign w:val="center"/>
          </w:tcPr>
          <w:p>
            <w:pPr>
              <w:spacing w:line="400" w:lineRule="exact"/>
              <w:jc w:val="left"/>
              <w:rPr>
                <w:rFonts w:ascii="仿宋_GB2312" w:hAnsi="宋体" w:eastAsia="仿宋_GB2312" w:cs="Times New Roman"/>
                <w:kern w:val="0"/>
                <w:sz w:val="24"/>
              </w:rPr>
            </w:pPr>
            <w:r>
              <w:rPr>
                <w:rFonts w:hint="eastAsia" w:ascii="仿宋_GB2312" w:hAnsi="宋体" w:eastAsia="仿宋_GB2312" w:cs="Times New Roman"/>
                <w:kern w:val="0"/>
                <w:sz w:val="24"/>
              </w:rPr>
              <w:t>1.学员代表进行研讨交流；</w:t>
            </w:r>
          </w:p>
          <w:p>
            <w:pPr>
              <w:spacing w:line="400" w:lineRule="exact"/>
              <w:jc w:val="left"/>
              <w:rPr>
                <w:sz w:val="24"/>
              </w:rPr>
            </w:pPr>
            <w:r>
              <w:rPr>
                <w:rFonts w:hint="eastAsia" w:ascii="仿宋_GB2312" w:hAnsi="宋体" w:eastAsia="仿宋_GB2312" w:cs="Times New Roman"/>
                <w:kern w:val="0"/>
                <w:sz w:val="24"/>
              </w:rPr>
              <w:t>2.总结讲话。</w:t>
            </w:r>
          </w:p>
        </w:tc>
        <w:tc>
          <w:tcPr>
            <w:tcW w:w="1949" w:type="dxa"/>
            <w:vAlign w:val="center"/>
          </w:tcPr>
          <w:p>
            <w:pPr>
              <w:spacing w:line="400" w:lineRule="exact"/>
              <w:jc w:val="center"/>
              <w:rPr>
                <w:sz w:val="24"/>
              </w:rPr>
            </w:pPr>
            <w:r>
              <w:rPr>
                <w:rFonts w:hint="eastAsia" w:ascii="仿宋_GB2312" w:hAnsi="宋体" w:eastAsia="仿宋_GB2312" w:cs="Times New Roman"/>
                <w:kern w:val="0"/>
                <w:sz w:val="24"/>
              </w:rPr>
              <w:t>林子波</w:t>
            </w:r>
          </w:p>
        </w:tc>
        <w:tc>
          <w:tcPr>
            <w:tcW w:w="2095" w:type="dxa"/>
            <w:vAlign w:val="center"/>
          </w:tcPr>
          <w:p>
            <w:pPr>
              <w:widowControl/>
              <w:spacing w:line="400" w:lineRule="exact"/>
              <w:jc w:val="center"/>
              <w:rPr>
                <w:rFonts w:ascii="仿宋_GB2312" w:hAnsi="宋体" w:eastAsia="仿宋_GB2312"/>
                <w:kern w:val="0"/>
                <w:sz w:val="24"/>
              </w:rPr>
            </w:pPr>
            <w:r>
              <w:rPr>
                <w:rFonts w:hint="eastAsia" w:ascii="仿宋_GB2312" w:hAnsi="宋体" w:eastAsia="仿宋_GB2312"/>
                <w:kern w:val="0"/>
                <w:sz w:val="24"/>
              </w:rPr>
              <w:t>学术报告厅</w:t>
            </w:r>
          </w:p>
        </w:tc>
      </w:tr>
    </w:tbl>
    <w:p>
      <w:pPr>
        <w:spacing w:line="520" w:lineRule="exact"/>
        <w:ind w:firstLine="641"/>
        <w:rPr>
          <w:rFonts w:ascii="黑体" w:hAnsi="黑体" w:eastAsia="黑体"/>
          <w:sz w:val="28"/>
          <w:szCs w:val="28"/>
        </w:rPr>
      </w:pPr>
      <w:r>
        <w:rPr>
          <w:rFonts w:hint="eastAsia" w:ascii="黑体" w:hAnsi="黑体" w:eastAsia="黑体"/>
          <w:sz w:val="28"/>
          <w:szCs w:val="28"/>
        </w:rPr>
        <w:t>五、有关要求</w:t>
      </w:r>
    </w:p>
    <w:p>
      <w:pPr>
        <w:spacing w:line="520" w:lineRule="exact"/>
        <w:ind w:firstLine="641"/>
        <w:rPr>
          <w:rFonts w:ascii="仿宋_GB2312" w:hAnsi="仿宋" w:eastAsia="仿宋_GB2312"/>
          <w:sz w:val="28"/>
          <w:szCs w:val="28"/>
        </w:rPr>
      </w:pPr>
      <w:r>
        <w:rPr>
          <w:rFonts w:hint="eastAsia" w:ascii="仿宋_GB2312" w:hAnsi="仿宋" w:eastAsia="仿宋_GB2312"/>
          <w:b/>
          <w:bCs/>
          <w:sz w:val="28"/>
          <w:szCs w:val="28"/>
        </w:rPr>
        <w:t>1.提高政治站位。</w:t>
      </w:r>
      <w:r>
        <w:rPr>
          <w:rFonts w:hint="eastAsia" w:ascii="仿宋_GB2312" w:hAnsi="仿宋" w:eastAsia="仿宋_GB2312"/>
          <w:sz w:val="28"/>
          <w:szCs w:val="28"/>
        </w:rPr>
        <w:t>全体参训人员要提高思想认识，把持续学懂弄通做实党的十九届六中全会精神作为当前首要政治任务，进一步增强“四个意识”、坚定“四个自信”、做到“两个维护”，不断提高政治判断力、政治领悟力、政治执行力，振奋精神加油干，凝心聚力促发展。</w:t>
      </w:r>
    </w:p>
    <w:p>
      <w:pPr>
        <w:spacing w:line="520" w:lineRule="exact"/>
        <w:ind w:firstLine="641"/>
        <w:rPr>
          <w:rFonts w:ascii="仿宋_GB2312" w:hAnsi="仿宋" w:eastAsia="仿宋_GB2312"/>
          <w:sz w:val="28"/>
          <w:szCs w:val="28"/>
        </w:rPr>
      </w:pPr>
      <w:r>
        <w:rPr>
          <w:rFonts w:hint="eastAsia" w:ascii="仿宋_GB2312" w:hAnsi="仿宋" w:eastAsia="仿宋_GB2312"/>
          <w:b/>
          <w:bCs/>
          <w:sz w:val="28"/>
          <w:szCs w:val="28"/>
        </w:rPr>
        <w:t>2.强化工作责任。</w:t>
      </w:r>
      <w:r>
        <w:rPr>
          <w:rFonts w:hint="eastAsia" w:ascii="仿宋_GB2312" w:hAnsi="仿宋" w:eastAsia="仿宋_GB2312"/>
          <w:sz w:val="28"/>
          <w:szCs w:val="28"/>
        </w:rPr>
        <w:t>学校各党总支、直属党支部要进一步增强政治责任，强化政治担当，及时做好本单位参训人员的提醒和督促工作，确保此次轮训取得实实在在的成果。</w:t>
      </w:r>
    </w:p>
    <w:p>
      <w:pPr>
        <w:spacing w:line="520" w:lineRule="exact"/>
        <w:ind w:firstLine="641"/>
        <w:rPr>
          <w:rFonts w:hint="eastAsia" w:ascii="仿宋_GB2312" w:hAnsi="仿宋" w:eastAsia="仿宋_GB2312"/>
          <w:sz w:val="28"/>
          <w:szCs w:val="28"/>
        </w:rPr>
      </w:pPr>
      <w:r>
        <w:rPr>
          <w:rFonts w:hint="eastAsia" w:ascii="仿宋_GB2312" w:hAnsi="仿宋" w:eastAsia="仿宋_GB2312"/>
          <w:b/>
          <w:bCs/>
          <w:sz w:val="28"/>
          <w:szCs w:val="28"/>
        </w:rPr>
        <w:t>3.坚持学以致用。</w:t>
      </w:r>
      <w:r>
        <w:rPr>
          <w:rFonts w:hint="eastAsia" w:ascii="仿宋_GB2312" w:hAnsi="仿宋" w:eastAsia="仿宋_GB2312"/>
          <w:sz w:val="28"/>
          <w:szCs w:val="28"/>
        </w:rPr>
        <w:t>要坚持把轮训工作与统筹推进学校事业发展结合起来，切实把学习成果转化为推动学校高质量发展超越的担当作为，转化为深化教育教学改革、扩大开放办学的强大动力，转化为推进“双高校”建设的重要力量，转化为党要管党、从严治党的战略定力。</w:t>
      </w:r>
      <w:bookmarkStart w:id="0" w:name="_GoBack"/>
      <w:bookmarkEnd w:id="0"/>
    </w:p>
    <w:p>
      <w:pPr>
        <w:pStyle w:val="2"/>
        <w:ind w:firstLine="5320" w:firstLineChars="1900"/>
        <w:rPr>
          <w:rFonts w:hint="eastAsia" w:ascii="仿宋_GB2312" w:hAnsi="仿宋" w:eastAsia="仿宋_GB2312" w:cstheme="minorBidi"/>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5320" w:firstLineChars="1900"/>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党委组织部</w:t>
      </w:r>
    </w:p>
    <w:p>
      <w:pPr>
        <w:pStyle w:val="2"/>
        <w:keepNext w:val="0"/>
        <w:keepLines w:val="0"/>
        <w:pageBreakBefore w:val="0"/>
        <w:widowControl w:val="0"/>
        <w:kinsoku/>
        <w:wordWrap/>
        <w:overflowPunct/>
        <w:topLinePunct w:val="0"/>
        <w:autoSpaceDE/>
        <w:autoSpaceDN/>
        <w:bidi w:val="0"/>
        <w:adjustRightInd/>
        <w:snapToGrid/>
        <w:spacing w:after="0"/>
        <w:ind w:firstLine="5040" w:firstLineChars="1800"/>
        <w:textAlignment w:val="auto"/>
        <w:rPr>
          <w:rFonts w:hint="default"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2022年3月8日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1689E"/>
    <w:rsid w:val="00176B42"/>
    <w:rsid w:val="00391099"/>
    <w:rsid w:val="00496BA3"/>
    <w:rsid w:val="0050437B"/>
    <w:rsid w:val="0091689E"/>
    <w:rsid w:val="00947BFE"/>
    <w:rsid w:val="00C2439B"/>
    <w:rsid w:val="00DD41E2"/>
    <w:rsid w:val="02D848B7"/>
    <w:rsid w:val="083E686F"/>
    <w:rsid w:val="1A1F74FF"/>
    <w:rsid w:val="1B4A0A06"/>
    <w:rsid w:val="20B62C73"/>
    <w:rsid w:val="220359D0"/>
    <w:rsid w:val="23451CD6"/>
    <w:rsid w:val="26D96ED1"/>
    <w:rsid w:val="27657F8C"/>
    <w:rsid w:val="279D59DC"/>
    <w:rsid w:val="32790D30"/>
    <w:rsid w:val="32A60154"/>
    <w:rsid w:val="36D158D1"/>
    <w:rsid w:val="3818009A"/>
    <w:rsid w:val="38D01DC2"/>
    <w:rsid w:val="4FEB5924"/>
    <w:rsid w:val="58DA322A"/>
    <w:rsid w:val="60475D67"/>
    <w:rsid w:val="69E118D7"/>
    <w:rsid w:val="6AC60A77"/>
    <w:rsid w:val="6D447683"/>
    <w:rsid w:val="767C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rPr>
  </w:style>
  <w:style w:type="paragraph" w:styleId="3">
    <w:name w:val="Body Text"/>
    <w:basedOn w:val="1"/>
    <w:unhideWhenUsed/>
    <w:qFormat/>
    <w:uiPriority w:val="99"/>
    <w:pPr>
      <w:spacing w:after="120"/>
    </w:pPr>
    <w:rPr>
      <w:rFonts w:eastAsia="宋体" w:cs="Times New Roman"/>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item-name"/>
    <w:basedOn w:val="7"/>
    <w:qFormat/>
    <w:uiPriority w:val="0"/>
  </w:style>
  <w:style w:type="character" w:customStyle="1" w:styleId="11">
    <w:name w:val="item-name1"/>
    <w:basedOn w:val="7"/>
    <w:qFormat/>
    <w:uiPriority w:val="0"/>
  </w:style>
  <w:style w:type="character" w:customStyle="1" w:styleId="12">
    <w:name w:val="item-name2"/>
    <w:basedOn w:val="7"/>
    <w:qFormat/>
    <w:uiPriority w:val="0"/>
  </w:style>
  <w:style w:type="character" w:customStyle="1" w:styleId="13">
    <w:name w:val="item-name3"/>
    <w:basedOn w:val="7"/>
    <w:qFormat/>
    <w:uiPriority w:val="0"/>
    <w:rPr>
      <w:sz w:val="21"/>
      <w:szCs w:val="21"/>
    </w:rPr>
  </w:style>
  <w:style w:type="character" w:customStyle="1" w:styleId="14">
    <w:name w:val="item-name4"/>
    <w:basedOn w:val="7"/>
    <w:qFormat/>
    <w:uiPriority w:val="0"/>
  </w:style>
  <w:style w:type="character" w:customStyle="1" w:styleId="15">
    <w:name w:val="item-name5"/>
    <w:basedOn w:val="7"/>
    <w:qFormat/>
    <w:uiPriority w:val="0"/>
  </w:style>
  <w:style w:type="character" w:customStyle="1" w:styleId="16">
    <w:name w:val="item-name6"/>
    <w:basedOn w:val="7"/>
    <w:qFormat/>
    <w:uiPriority w:val="0"/>
    <w:rPr>
      <w:b/>
      <w:bCs/>
      <w:sz w:val="18"/>
      <w:szCs w:val="18"/>
    </w:rPr>
  </w:style>
  <w:style w:type="character" w:customStyle="1" w:styleId="17">
    <w:name w:val="item-name7"/>
    <w:basedOn w:val="7"/>
    <w:qFormat/>
    <w:uiPriority w:val="0"/>
  </w:style>
  <w:style w:type="character" w:customStyle="1" w:styleId="18">
    <w:name w:val="item-name8"/>
    <w:basedOn w:val="7"/>
    <w:qFormat/>
    <w:uiPriority w:val="0"/>
  </w:style>
  <w:style w:type="character" w:customStyle="1" w:styleId="19">
    <w:name w:val="news_meta"/>
    <w:basedOn w:val="7"/>
    <w:qFormat/>
    <w:uiPriority w:val="0"/>
  </w:style>
  <w:style w:type="character" w:customStyle="1" w:styleId="20">
    <w:name w:val="left"/>
    <w:basedOn w:val="7"/>
    <w:qFormat/>
    <w:uiPriority w:val="0"/>
  </w:style>
  <w:style w:type="character" w:customStyle="1" w:styleId="21">
    <w:name w:val="news_title"/>
    <w:basedOn w:val="7"/>
    <w:qFormat/>
    <w:uiPriority w:val="0"/>
  </w:style>
  <w:style w:type="character" w:customStyle="1" w:styleId="22">
    <w:name w:val="xubox_tabnow"/>
    <w:basedOn w:val="7"/>
    <w:qFormat/>
    <w:uiPriority w:val="0"/>
    <w:rPr>
      <w:bdr w:val="single" w:color="CCCCCC" w:sz="6" w:space="0"/>
      <w:shd w:val="clear" w:color="auto" w:fill="FFFFFF"/>
    </w:rPr>
  </w:style>
  <w:style w:type="character" w:customStyle="1" w:styleId="23">
    <w:name w:val="right"/>
    <w:basedOn w:val="7"/>
    <w:qFormat/>
    <w:uiPriority w:val="0"/>
  </w:style>
  <w:style w:type="character" w:customStyle="1" w:styleId="24">
    <w:name w:val="column-name14"/>
    <w:basedOn w:val="7"/>
    <w:qFormat/>
    <w:uiPriority w:val="0"/>
    <w:rPr>
      <w:color w:val="666666"/>
    </w:rPr>
  </w:style>
  <w:style w:type="character" w:customStyle="1" w:styleId="25">
    <w:name w:val="column-name15"/>
    <w:basedOn w:val="7"/>
    <w:qFormat/>
    <w:uiPriority w:val="0"/>
    <w:rPr>
      <w:color w:val="124D83"/>
    </w:rPr>
  </w:style>
  <w:style w:type="character" w:customStyle="1" w:styleId="26">
    <w:name w:val="column-name16"/>
    <w:basedOn w:val="7"/>
    <w:qFormat/>
    <w:uiPriority w:val="0"/>
    <w:rPr>
      <w:color w:val="124D83"/>
    </w:rPr>
  </w:style>
  <w:style w:type="character" w:customStyle="1" w:styleId="27">
    <w:name w:val="column-name17"/>
    <w:basedOn w:val="7"/>
    <w:qFormat/>
    <w:uiPriority w:val="0"/>
    <w:rPr>
      <w:color w:val="124D83"/>
    </w:rPr>
  </w:style>
  <w:style w:type="character" w:customStyle="1" w:styleId="28">
    <w:name w:val="column-name18"/>
    <w:basedOn w:val="7"/>
    <w:qFormat/>
    <w:uiPriority w:val="0"/>
    <w:rPr>
      <w:color w:val="124D83"/>
    </w:rPr>
  </w:style>
  <w:style w:type="paragraph" w:customStyle="1" w:styleId="29">
    <w:name w:val="First Paragraph"/>
    <w:basedOn w:val="3"/>
    <w:next w:val="3"/>
    <w:qFormat/>
    <w:uiPriority w:val="0"/>
    <w:pPr>
      <w:widowControl/>
      <w:spacing w:before="180" w:after="180"/>
      <w:jc w:val="left"/>
    </w:pPr>
    <w:rPr>
      <w:rFonts w:ascii="Calibri" w:hAnsi="Calibr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1691</Words>
  <Characters>195</Characters>
  <Lines>1</Lines>
  <Paragraphs>3</Paragraphs>
  <TotalTime>1058</TotalTime>
  <ScaleCrop>false</ScaleCrop>
  <LinksUpToDate>false</LinksUpToDate>
  <CharactersWithSpaces>1883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2022-02-23T08:34:00Z</dcterms:created>
  <dc:creator>Administrator</dc:creator>
  <cp:lastModifiedBy>程小丹</cp:lastModifiedBy>
  <cp:lastPrinted>2022-03-07T07:37:00Z</cp:lastPrinted>
  <dcterms:modified xsi:type="dcterms:W3CDTF">2022-05-10T05:49:14Z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CA6224E9266548F78454E02A110FBBC7</vt:lpwstr>
  </property>
</Properties>
</file>