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6C69C">
      <w:pPr>
        <w:jc w:val="distribute"/>
      </w:pPr>
      <w:r>
        <w:rPr>
          <w:rFonts w:hint="eastAsia" w:ascii="方正小标宋简体" w:eastAsia="方正小标宋简体"/>
          <w:color w:val="FF0000"/>
          <w:spacing w:val="-6"/>
          <w:w w:val="90"/>
          <w:sz w:val="74"/>
          <w:szCs w:val="74"/>
        </w:rPr>
        <w:t>福州职业技术学院（</w:t>
      </w:r>
      <w:r>
        <w:rPr>
          <w:rFonts w:hint="eastAsia" w:ascii="方正小标宋简体" w:eastAsia="方正小标宋简体"/>
          <w:color w:val="FF0000"/>
          <w:spacing w:val="-6"/>
          <w:w w:val="90"/>
          <w:sz w:val="32"/>
          <w:szCs w:val="32"/>
        </w:rPr>
        <w:t>保卫处</w:t>
      </w:r>
      <w:r>
        <w:rPr>
          <w:rFonts w:hint="eastAsia" w:ascii="方正小标宋简体" w:eastAsia="方正小标宋简体"/>
          <w:color w:val="FF0000"/>
          <w:spacing w:val="-6"/>
          <w:w w:val="90"/>
          <w:sz w:val="74"/>
          <w:szCs w:val="74"/>
        </w:rPr>
        <w:t>）</w:t>
      </w:r>
    </w:p>
    <w:p w14:paraId="2D09B7A4">
      <w:pPr>
        <w:widowControl/>
        <w:adjustRightInd w:val="0"/>
        <w:snapToGrid w:val="0"/>
        <w:spacing w:line="640" w:lineRule="exact"/>
        <w:jc w:val="center"/>
        <w:rPr>
          <w:rFonts w:ascii="方正小标宋简体" w:eastAsia="方正小标宋简体"/>
          <w:sz w:val="62"/>
        </w:rPr>
      </w:pPr>
      <w:r>
        <w:rPr>
          <w:rFonts w:hint="eastAsia" w:ascii="仿宋_GB2312" w:eastAsia="仿宋_GB2312"/>
          <w:bCs/>
          <w:kern w:val="0"/>
          <w:sz w:val="32"/>
          <w:szCs w:val="32"/>
        </w:rPr>
        <w:t xml:space="preserve"> </w:t>
      </w:r>
      <w:r>
        <w:rPr>
          <w:rFonts w:hint="eastAsia" w:ascii="仿宋_GB2312" w:hAnsi="仿宋_GB2312" w:eastAsia="仿宋_GB2312" w:cs="仿宋_GB2312"/>
          <w:kern w:val="0"/>
          <w:sz w:val="32"/>
          <w:szCs w:val="32"/>
        </w:rPr>
        <w:t>榕职院保〔202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14</w:t>
      </w:r>
      <w:r>
        <w:rPr>
          <w:rFonts w:hint="eastAsia" w:ascii="仿宋_GB2312" w:hAnsi="仿宋_GB2312" w:eastAsia="仿宋_GB2312" w:cs="仿宋_GB2312"/>
          <w:kern w:val="0"/>
          <w:sz w:val="32"/>
          <w:szCs w:val="32"/>
        </w:rPr>
        <w:t>号</w:t>
      </w:r>
    </w:p>
    <w:p w14:paraId="61D3E886">
      <w:pPr>
        <w:rPr>
          <w:rFonts w:hint="eastAsia" w:ascii="方正小标宋简体" w:hAnsi="方正小标宋简体" w:eastAsia="方正小标宋简体" w:cs="方正小标宋简体"/>
          <w:b/>
          <w:bCs/>
          <w:sz w:val="44"/>
          <w:szCs w:val="44"/>
        </w:rPr>
      </w:pPr>
      <w:r>
        <w:rPr>
          <w:rFonts w:ascii="方正仿宋简体" w:eastAsia="方正仿宋简体"/>
          <w:sz w:val="3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45720</wp:posOffset>
                </wp:positionV>
                <wp:extent cx="5486400" cy="381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486400" cy="381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pt;margin-top:3.6pt;height:0.3pt;width:432pt;z-index:251659264;mso-width-relative:page;mso-height-relative:page;" filled="f" stroked="t" coordsize="21600,21600" o:gfxdata="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N/m5h1AAAAAQBAAAPAAAAAAAAAAEAIAAAACIAAABkcnMvZG93&#10;bnJldi54bWxQSwECFAAUAAAACACHTuJAoKDbLAQCAAAABAAADgAAAAAAAAABACAAAAAjAQAAZHJz&#10;L2Uyb0RvYy54bWxQSwUGAAAAAAYABgBZAQAAmQUAAAAA&#10;">
                <v:fill on="f" focussize="0,0"/>
                <v:stroke weight="3pt" color="#FF0000" joinstyle="round"/>
                <v:imagedata o:title=""/>
                <o:lock v:ext="edit" aspectratio="f"/>
              </v:line>
            </w:pict>
          </mc:Fallback>
        </mc:AlternateContent>
      </w:r>
    </w:p>
    <w:p w14:paraId="42D3CC5A">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福州职业技术学院</w:t>
      </w:r>
    </w:p>
    <w:p w14:paraId="66E4A659">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关于加强全国两会重点时段校园安全防范工作的通知</w:t>
      </w:r>
    </w:p>
    <w:p w14:paraId="72CA6315">
      <w:pPr>
        <w:jc w:val="both"/>
        <w:rPr>
          <w:rFonts w:hint="eastAsia" w:ascii="仿宋_GB2312" w:hAnsi="仿宋_GB2312" w:eastAsia="仿宋_GB2312" w:cs="仿宋_GB2312"/>
          <w:sz w:val="18"/>
          <w:szCs w:val="18"/>
          <w:lang w:val="en-US" w:eastAsia="zh-CN"/>
        </w:rPr>
      </w:pPr>
    </w:p>
    <w:p w14:paraId="5F60B926">
      <w:pPr>
        <w:jc w:val="both"/>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各院部、处室、中心、馆：</w:t>
      </w:r>
    </w:p>
    <w:p w14:paraId="11103BCA">
      <w:pPr>
        <w:ind w:firstLine="600" w:firstLineChars="200"/>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根据省教育厅安全处转发的</w:t>
      </w:r>
      <w:r>
        <w:rPr>
          <w:rFonts w:hint="eastAsia" w:ascii="仿宋_GB2312" w:hAnsi="仿宋_GB2312" w:eastAsia="仿宋_GB2312" w:cs="仿宋_GB2312"/>
          <w:sz w:val="30"/>
          <w:szCs w:val="30"/>
        </w:rPr>
        <w:t>《福建省政府安全生产委员会办公室&lt;“关于进一步加强全国两会重点时段安全防范工作&gt;的通知》</w:t>
      </w:r>
      <w:r>
        <w:rPr>
          <w:rFonts w:hint="eastAsia" w:ascii="仿宋_GB2312" w:hAnsi="仿宋_GB2312" w:eastAsia="仿宋_GB2312" w:cs="仿宋_GB2312"/>
          <w:sz w:val="30"/>
          <w:szCs w:val="30"/>
          <w:lang w:val="en-US" w:eastAsia="zh-CN"/>
        </w:rPr>
        <w:t>要求，并结合近期省厅下发的学校安全相关文件，请各部门严格落实相关工作要求：</w:t>
      </w:r>
    </w:p>
    <w:p w14:paraId="296AC1C7">
      <w:pPr>
        <w:ind w:firstLine="600" w:firstLineChars="200"/>
        <w:jc w:val="both"/>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t>一、把防风险、保安全、护稳定的政治责任落到具体主体、细化措施上</w:t>
      </w:r>
    </w:p>
    <w:p w14:paraId="6B0137CB">
      <w:pPr>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一)责任要立起来。各部门要严格落实安全责任，按照“三管三必须”“党政同责、一岗双责”要求，形成齐抓共管的工作格局。要牢记责任，切实把“人民至上、生命至上”理念转化成实际行动，用心用情、尽心尽责除隐患、防风险、保安全。明确易引发事故的重点区域监管责任和职责。</w:t>
      </w:r>
    </w:p>
    <w:p w14:paraId="6850CD3C">
      <w:pPr>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二)机制要有效运作。各部门要进一步健全完善安全防范工作相关机制，细化部门职责，形成责任闭环，避免出现责任空档、监管盲区。要做到责任到人、到岗，每项工作、每个环节都要落到具体主体。要确保遇到突发事件，相关机制能够及时响应，高效运行。</w:t>
      </w:r>
    </w:p>
    <w:p w14:paraId="2083B20F">
      <w:pPr>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三)职责要落到基层末梢。各部门要进一步加强基层应急能力建设，健全应急消防管理组织体系，强化基层专业能力建设，提升排查隐患的能力和水平。要突出解决责任落实“最后一公里问题”,充分发挥基层“网格化”巡查检查作用，把责任措施真正落实到基层末梢。</w:t>
      </w:r>
    </w:p>
    <w:p w14:paraId="67E83C74">
      <w:pPr>
        <w:ind w:firstLine="600" w:firstLineChars="200"/>
        <w:jc w:val="both"/>
        <w:rPr>
          <w:rFonts w:hint="eastAsia" w:ascii="仿宋_GB2312" w:hAnsi="仿宋_GB2312" w:eastAsia="仿宋_GB2312" w:cs="仿宋_GB2312"/>
          <w:sz w:val="30"/>
          <w:szCs w:val="30"/>
          <w:lang w:val="en-US" w:eastAsia="zh-CN"/>
        </w:rPr>
      </w:pPr>
      <w:r>
        <w:rPr>
          <w:rFonts w:hint="eastAsia" w:ascii="方正小标宋简体" w:hAnsi="方正小标宋简体" w:eastAsia="方正小标宋简体" w:cs="方正小标宋简体"/>
          <w:sz w:val="30"/>
          <w:szCs w:val="30"/>
          <w:lang w:val="en-US" w:eastAsia="zh-CN"/>
        </w:rPr>
        <w:t>二、把具体行动落细到重大行动、重点领域、重要环节上</w:t>
      </w:r>
    </w:p>
    <w:p w14:paraId="50AD03DD">
      <w:pPr>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一)深入开展安全生产治本攻坚三年行动。各部门要全面排查整治重大事故隐患，学好用好重大事故隐患判定标准，提升排查隐患的自觉和专业能力。要管控重大安全风险，采取针对性措施，着力消减重大风险，着力消除由于重大风险管控措施缺失或执行不到位而形成的重大事故隐患。要形成长效机制，对照行动目标要求，深入开展安全生产治本攻坚“十大行动”,落实27条具体措施，聚焦安全生产重点难点问题，不断完善有关工作规定要求，推动形成重大事故隐患动态清零的常态化机制，切实提升安全生产治理能力和水平。</w:t>
      </w:r>
    </w:p>
    <w:p w14:paraId="7C1F80D2">
      <w:pPr>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(二)严格重点环节管理。各部门要紧盯重大活动人员聚集、有限空间作业、动火作业等重点环节风险，严格风险评估、审批管控和措施落实。</w:t>
      </w:r>
    </w:p>
    <w:p w14:paraId="34DF43EF">
      <w:pPr>
        <w:ind w:firstLine="600" w:firstLineChars="200"/>
        <w:jc w:val="both"/>
        <w:rPr>
          <w:rFonts w:hint="eastAsia" w:ascii="仿宋_GB2312" w:hAnsi="仿宋_GB2312" w:eastAsia="仿宋_GB2312" w:cs="仿宋_GB2312"/>
          <w:sz w:val="30"/>
          <w:szCs w:val="30"/>
          <w:lang w:val="en-US" w:eastAsia="zh-CN"/>
        </w:rPr>
      </w:pPr>
      <w:r>
        <w:rPr>
          <w:rFonts w:hint="eastAsia" w:ascii="方正小标宋简体" w:hAnsi="方正小标宋简体" w:eastAsia="方正小标宋简体" w:cs="方正小标宋简体"/>
          <w:sz w:val="30"/>
          <w:szCs w:val="30"/>
          <w:lang w:val="en-US" w:eastAsia="zh-CN"/>
        </w:rPr>
        <w:t>三、以防为主，全力抓好消防和森林灭火各项工作</w:t>
      </w:r>
    </w:p>
    <w:p w14:paraId="7DC637E6">
      <w:pPr>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各部门要深入开展人员密集场所动火作业和建筑保温材料安全隐患专项整治，抓紧摸排高层建筑、冷库等保温材料的存量使用情况，动火作业等高风险，严防小施工引发大火灾。要持续开展电动自行车安全隐患全链条整治工作，严格查处电动自行车违法停放和充电行为，加大停放充电设施建设力度，统筹好群众对电动自行车停放、充电的需求，防止简单化、一刀切。</w:t>
      </w:r>
    </w:p>
    <w:p w14:paraId="3F7B4FA7">
      <w:pPr>
        <w:numPr>
          <w:ilvl w:val="0"/>
          <w:numId w:val="1"/>
        </w:numPr>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森林防灭火方面，各部门要着力提高全民防火意识，坚持正面宣传和警示教育相结合，广泛开展形式多样、通俗易懂的公益宣传和新闻报道，积极营造提高防火意识。</w:t>
      </w:r>
    </w:p>
    <w:p w14:paraId="70FFA612">
      <w:pPr>
        <w:ind w:firstLine="600" w:firstLineChars="200"/>
        <w:jc w:val="both"/>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t>四、抓好春季自然灾害特别是极端天气可能引发的灾害事故的防范</w:t>
      </w:r>
    </w:p>
    <w:p w14:paraId="28852537">
      <w:pPr>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各部门要做好应急值班值守工作，健全完善制度，强化岗位责任制，配齐配强值班力量，确保遇到险情能及时高效处置。要落细落实各项应急准备措施，做好预测、预报和预警工作，及时叫应响应。要加强应急力量统筹和重点部位力量预置，对重大工程、重大活动、重点部位、重点时段要前置救援力量，现场布点、严盯死守，遇有突发情况即时响应、快速出动、科学施救，最大限度减少损失。</w:t>
      </w:r>
    </w:p>
    <w:p w14:paraId="13F99A4B">
      <w:pPr>
        <w:ind w:firstLine="600" w:firstLineChars="200"/>
        <w:jc w:val="both"/>
        <w:rPr>
          <w:lang w:val="en-US" w:eastAsia="zh-CN"/>
        </w:rPr>
      </w:pPr>
      <w:r>
        <w:rPr>
          <w:rFonts w:hint="eastAsia" w:ascii="仿宋_GB2312" w:hAnsi="仿宋_GB2312" w:eastAsia="仿宋_GB2312" w:cs="仿宋_GB2312"/>
          <w:sz w:val="30"/>
          <w:szCs w:val="30"/>
          <w:lang w:val="en-US" w:eastAsia="zh-CN"/>
        </w:rPr>
        <w:t>特此通知。</w:t>
      </w:r>
    </w:p>
    <w:p w14:paraId="12E5598F">
      <w:pPr>
        <w:bidi w:val="0"/>
        <w:rPr>
          <w:lang w:val="en-US" w:eastAsia="zh-CN"/>
        </w:rPr>
      </w:pPr>
    </w:p>
    <w:p w14:paraId="22E7AC0E">
      <w:pPr>
        <w:bidi w:val="0"/>
        <w:rPr>
          <w:rFonts w:hint="eastAsia" w:ascii="仿宋_GB2312" w:hAnsi="仿宋_GB2312" w:eastAsia="仿宋_GB2312" w:cs="仿宋_GB2312"/>
          <w:sz w:val="30"/>
          <w:szCs w:val="30"/>
          <w:lang w:val="en-US" w:eastAsia="zh-CN"/>
        </w:rPr>
      </w:pPr>
      <w:bookmarkStart w:id="0" w:name="_GoBack"/>
      <w:bookmarkEnd w:id="0"/>
    </w:p>
    <w:p w14:paraId="114E8503">
      <w:pPr>
        <w:tabs>
          <w:tab w:val="left" w:pos="6484"/>
        </w:tabs>
        <w:bidi w:val="0"/>
        <w:jc w:val="left"/>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lang w:val="en-US" w:eastAsia="zh-CN"/>
        </w:rPr>
        <w:tab/>
      </w:r>
      <w:r>
        <w:rPr>
          <w:rFonts w:hint="eastAsia" w:ascii="仿宋_GB2312" w:hAnsi="仿宋_GB2312" w:eastAsia="仿宋_GB2312" w:cs="仿宋_GB2312"/>
          <w:sz w:val="30"/>
          <w:szCs w:val="30"/>
          <w:lang w:val="en-US" w:eastAsia="zh-CN"/>
        </w:rPr>
        <w:t xml:space="preserve"> 保卫处</w:t>
      </w:r>
    </w:p>
    <w:p w14:paraId="2D191B5A">
      <w:pPr>
        <w:tabs>
          <w:tab w:val="left" w:pos="6119"/>
        </w:tabs>
        <w:bidi w:val="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0"/>
          <w:szCs w:val="30"/>
          <w:lang w:val="en-US" w:eastAsia="zh-CN"/>
        </w:rPr>
        <w:tab/>
      </w:r>
      <w:r>
        <w:rPr>
          <w:rFonts w:hint="eastAsia" w:ascii="仿宋_GB2312" w:hAnsi="仿宋_GB2312" w:eastAsia="仿宋_GB2312" w:cs="仿宋_GB2312"/>
          <w:sz w:val="30"/>
          <w:szCs w:val="30"/>
          <w:lang w:val="en-US" w:eastAsia="zh-CN"/>
        </w:rPr>
        <w:t>2025年3月4日</w:t>
      </w: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9C58D86C-8CEC-44EA-8573-02F1EC81659A}"/>
  </w:font>
  <w:font w:name="仿宋_GB2312">
    <w:panose1 w:val="02010609030101010101"/>
    <w:charset w:val="86"/>
    <w:family w:val="auto"/>
    <w:pitch w:val="default"/>
    <w:sig w:usb0="00000001" w:usb1="080E0000" w:usb2="00000000" w:usb3="00000000" w:csb0="00040000" w:csb1="00000000"/>
    <w:embedRegular r:id="rId2" w:fontKey="{EDF4AE27-4343-4574-AB52-CEA08862151D}"/>
  </w:font>
  <w:font w:name="方正仿宋简体">
    <w:altName w:val="微软雅黑"/>
    <w:panose1 w:val="00000000000000000000"/>
    <w:charset w:val="86"/>
    <w:family w:val="script"/>
    <w:pitch w:val="default"/>
    <w:sig w:usb0="00000000" w:usb1="00000000" w:usb2="00000000" w:usb3="00000000" w:csb0="00040000" w:csb1="00000000"/>
    <w:embedRegular r:id="rId3" w:fontKey="{CDE611E8-109D-4B81-9889-7162196E278A}"/>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17295"/>
    <w:multiLevelType w:val="singleLevel"/>
    <w:tmpl w:val="02C17295"/>
    <w:lvl w:ilvl="0" w:tentative="0">
      <w:start w:val="2"/>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306369"/>
    <w:rsid w:val="057E2145"/>
    <w:rsid w:val="27EA1F57"/>
    <w:rsid w:val="2DF94B1D"/>
    <w:rsid w:val="2E454E65"/>
    <w:rsid w:val="32A37D75"/>
    <w:rsid w:val="33340922"/>
    <w:rsid w:val="360540C9"/>
    <w:rsid w:val="46306369"/>
    <w:rsid w:val="4A830EAC"/>
    <w:rsid w:val="5CBD1F45"/>
    <w:rsid w:val="640A3E0C"/>
    <w:rsid w:val="6D857B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264</Words>
  <Characters>271</Characters>
  <Lines>0</Lines>
  <Paragraphs>0</Paragraphs>
  <TotalTime>30</TotalTime>
  <ScaleCrop>false</ScaleCrop>
  <LinksUpToDate>false</LinksUpToDate>
  <CharactersWithSpaces>275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2025-01-14T02:22:00Z</dcterms:created>
  <dc:creator>张威</dc:creator>
  <cp:lastModifiedBy>林炜庭</cp:lastModifiedBy>
  <dcterms:modified xsi:type="dcterms:W3CDTF">2025-03-05T01:18:31Z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eyJoZGlkIjoiMGRkZmM2Yjk0ZjMxODk4NmE5NzhmZGJlMWQyOTY5NzQiLCJ1c2VySWQiOiIxNjY0NTgyNDQxIn0=</vt:lpwstr>
  </property>
  <property fmtid="{D5CDD505-2E9C-101B-9397-08002B2CF9AE}" pid="4" name="ICV">
    <vt:lpwstr>0BFE61A7E99549A4B5CA0B971C929CF5_12</vt:lpwstr>
  </property>
</Properties>
</file>