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5611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baseline"/>
        <w:rPr>
          <w:rFonts w:hint="eastAsia" w:ascii="宋体" w:hAnsi="宋体" w:eastAsia="宋体" w:cs="宋体"/>
          <w:b/>
          <w:bCs/>
          <w:color w:val="auto"/>
          <w:sz w:val="30"/>
          <w:szCs w:val="30"/>
        </w:rPr>
      </w:pPr>
      <w:r>
        <w:rPr>
          <w:rFonts w:hint="eastAsia" w:cs="宋体"/>
          <w:b/>
          <w:bCs/>
          <w:i w:val="0"/>
          <w:iCs w:val="0"/>
          <w:caps w:val="0"/>
          <w:color w:val="auto"/>
          <w:spacing w:val="0"/>
          <w:sz w:val="30"/>
          <w:szCs w:val="30"/>
          <w:shd w:val="clear" w:fill="FFFFFF"/>
          <w:vertAlign w:val="baseline"/>
          <w:lang w:eastAsia="zh-CN"/>
        </w:rPr>
        <w:t>2026年福建省人工智能工程技术职业技能竞赛平台租赁服务采购项目</w:t>
      </w:r>
      <w:r>
        <w:rPr>
          <w:rFonts w:hint="eastAsia" w:ascii="宋体" w:hAnsi="宋体" w:eastAsia="宋体" w:cs="宋体"/>
          <w:b/>
          <w:bCs/>
          <w:i w:val="0"/>
          <w:iCs w:val="0"/>
          <w:caps w:val="0"/>
          <w:color w:val="auto"/>
          <w:spacing w:val="0"/>
          <w:sz w:val="30"/>
          <w:szCs w:val="30"/>
          <w:shd w:val="clear" w:fill="FFFFFF"/>
          <w:vertAlign w:val="baseline"/>
        </w:rPr>
        <w:t>成交公告</w:t>
      </w:r>
    </w:p>
    <w:p w14:paraId="71B4DA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lang w:val="en-US" w:eastAsia="zh-CN"/>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一、项目编号：</w:t>
      </w:r>
      <w:r>
        <w:rPr>
          <w:rStyle w:val="7"/>
          <w:rFonts w:hint="eastAsia" w:asciiTheme="minorEastAsia" w:hAnsiTheme="minorEastAsia" w:cstheme="minorEastAsia"/>
          <w:b w:val="0"/>
          <w:bCs w:val="0"/>
          <w:i w:val="0"/>
          <w:iCs w:val="0"/>
          <w:caps w:val="0"/>
          <w:color w:val="auto"/>
          <w:spacing w:val="0"/>
          <w:sz w:val="24"/>
          <w:szCs w:val="24"/>
          <w:shd w:val="clear" w:fill="FFFFFF"/>
          <w:vertAlign w:val="baseline"/>
          <w:lang w:eastAsia="zh-CN"/>
        </w:rPr>
        <w:t>FJDS[WJ]2026007</w:t>
      </w:r>
    </w:p>
    <w:p w14:paraId="167EC6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lang w:eastAsia="zh-CN"/>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二、项目名称：</w:t>
      </w:r>
      <w:r>
        <w:rPr>
          <w:rStyle w:val="7"/>
          <w:rFonts w:hint="eastAsia" w:asciiTheme="minorEastAsia" w:hAnsiTheme="minorEastAsia" w:cstheme="minorEastAsia"/>
          <w:b w:val="0"/>
          <w:bCs w:val="0"/>
          <w:i w:val="0"/>
          <w:iCs w:val="0"/>
          <w:caps w:val="0"/>
          <w:color w:val="auto"/>
          <w:spacing w:val="0"/>
          <w:sz w:val="24"/>
          <w:szCs w:val="24"/>
          <w:shd w:val="clear" w:fill="FFFFFF"/>
          <w:vertAlign w:val="baseline"/>
          <w:lang w:eastAsia="zh-CN"/>
        </w:rPr>
        <w:t>2026年福建省人工智能工程技术职业技能竞赛平台租赁服务采购项目</w:t>
      </w:r>
    </w:p>
    <w:p w14:paraId="35817E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三、成交信息</w:t>
      </w:r>
    </w:p>
    <w:p w14:paraId="5A628D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成交供应商</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名称：</w:t>
      </w:r>
      <w:r>
        <w:rPr>
          <w:rFonts w:hint="eastAsia" w:asciiTheme="minorEastAsia" w:hAnsiTheme="minorEastAsia" w:cstheme="minorEastAsia"/>
          <w:i w:val="0"/>
          <w:iCs w:val="0"/>
          <w:caps w:val="0"/>
          <w:color w:val="auto"/>
          <w:spacing w:val="0"/>
          <w:sz w:val="24"/>
          <w:szCs w:val="24"/>
          <w:shd w:val="clear" w:fill="FFFFFF"/>
          <w:vertAlign w:val="baseline"/>
          <w:lang w:eastAsia="zh-CN"/>
        </w:rPr>
        <w:t>厦门喜棉信息科技有限公司</w:t>
      </w:r>
    </w:p>
    <w:p w14:paraId="499C53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成交供应商</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地址：</w:t>
      </w:r>
      <w:r>
        <w:rPr>
          <w:rFonts w:hint="eastAsia" w:asciiTheme="minorEastAsia" w:hAnsiTheme="minorEastAsia" w:cstheme="minorEastAsia"/>
          <w:i w:val="0"/>
          <w:iCs w:val="0"/>
          <w:caps w:val="0"/>
          <w:color w:val="auto"/>
          <w:spacing w:val="0"/>
          <w:sz w:val="24"/>
          <w:szCs w:val="24"/>
          <w:shd w:val="clear" w:fill="FFFFFF"/>
          <w:vertAlign w:val="baseline"/>
          <w:lang w:eastAsia="zh-CN"/>
        </w:rPr>
        <w:t>厦门市思明区金榜路63号418单元之110</w:t>
      </w:r>
    </w:p>
    <w:p w14:paraId="55817B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成交金额：</w:t>
      </w:r>
      <w:r>
        <w:rPr>
          <w:rFonts w:hint="eastAsia" w:asciiTheme="minorEastAsia" w:hAnsiTheme="minorEastAsia" w:cstheme="minorEastAsia"/>
          <w:color w:val="auto"/>
          <w:sz w:val="24"/>
          <w:szCs w:val="24"/>
          <w:lang w:val="en-US" w:eastAsia="zh-CN"/>
        </w:rPr>
        <w:t>96500</w:t>
      </w:r>
      <w:r>
        <w:rPr>
          <w:rFonts w:hint="eastAsia" w:asciiTheme="minorEastAsia" w:hAnsiTheme="minorEastAsia" w:eastAsiaTheme="minorEastAsia" w:cstheme="minorEastAsia"/>
          <w:color w:val="auto"/>
          <w:sz w:val="24"/>
          <w:szCs w:val="24"/>
          <w:lang w:val="en-US" w:eastAsia="zh-CN"/>
        </w:rPr>
        <w:t>.00</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（元）</w:t>
      </w:r>
    </w:p>
    <w:p w14:paraId="78DE6C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四、主要标的信息</w:t>
      </w:r>
    </w:p>
    <w:tbl>
      <w:tblPr>
        <w:tblStyle w:val="5"/>
        <w:tblW w:w="5034" w:type="pct"/>
        <w:jc w:val="center"/>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Layout w:type="autofit"/>
        <w:tblCellMar>
          <w:top w:w="0" w:type="dxa"/>
          <w:left w:w="0" w:type="dxa"/>
          <w:bottom w:w="0" w:type="dxa"/>
          <w:right w:w="0" w:type="dxa"/>
        </w:tblCellMar>
      </w:tblPr>
      <w:tblGrid>
        <w:gridCol w:w="785"/>
        <w:gridCol w:w="2035"/>
        <w:gridCol w:w="1955"/>
        <w:gridCol w:w="1009"/>
        <w:gridCol w:w="1318"/>
        <w:gridCol w:w="1281"/>
      </w:tblGrid>
      <w:tr w14:paraId="7F78333C">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CellMar>
            <w:top w:w="0" w:type="dxa"/>
            <w:left w:w="0" w:type="dxa"/>
            <w:bottom w:w="0" w:type="dxa"/>
            <w:right w:w="0" w:type="dxa"/>
          </w:tblCellMar>
        </w:tblPrEx>
        <w:trPr>
          <w:jc w:val="center"/>
        </w:trPr>
        <w:tc>
          <w:tcPr>
            <w:tcW w:w="468" w:type="pct"/>
            <w:tcBorders>
              <w:top w:val="outset" w:color="auto" w:sz="6" w:space="0"/>
              <w:left w:val="outset" w:color="auto" w:sz="8" w:space="0"/>
              <w:bottom w:val="outset" w:color="auto" w:sz="8" w:space="0"/>
              <w:right w:val="outset" w:color="auto" w:sz="8" w:space="0"/>
            </w:tcBorders>
            <w:shd w:val="clear" w:color="auto" w:fill="auto"/>
            <w:vAlign w:val="center"/>
          </w:tcPr>
          <w:p w14:paraId="112A7CD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合同包</w:t>
            </w:r>
          </w:p>
        </w:tc>
        <w:tc>
          <w:tcPr>
            <w:tcW w:w="1214" w:type="pct"/>
            <w:tcBorders>
              <w:top w:val="outset" w:color="auto" w:sz="6" w:space="0"/>
              <w:left w:val="outset" w:color="auto" w:sz="8" w:space="0"/>
              <w:bottom w:val="outset" w:color="auto" w:sz="8" w:space="0"/>
              <w:right w:val="outset" w:color="auto" w:sz="8" w:space="0"/>
            </w:tcBorders>
            <w:shd w:val="clear" w:color="auto" w:fill="auto"/>
            <w:vAlign w:val="center"/>
          </w:tcPr>
          <w:p w14:paraId="7CD1A339">
            <w:pPr>
              <w:keepNext w:val="0"/>
              <w:keepLines w:val="0"/>
              <w:pageBreakBefore w:val="0"/>
              <w:widowControl/>
              <w:kinsoku/>
              <w:wordWrap/>
              <w:topLinePunct w:val="0"/>
              <w:bidi w:val="0"/>
              <w:spacing w:line="360" w:lineRule="auto"/>
              <w:jc w:val="center"/>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color w:val="auto"/>
                <w:kern w:val="0"/>
                <w:sz w:val="24"/>
              </w:rPr>
              <w:t>标的</w:t>
            </w:r>
            <w:r>
              <w:rPr>
                <w:rFonts w:hint="eastAsia" w:asciiTheme="minorEastAsia" w:hAnsiTheme="minorEastAsia" w:cstheme="minorEastAsia"/>
                <w:color w:val="auto"/>
                <w:kern w:val="0"/>
                <w:sz w:val="24"/>
                <w:lang w:eastAsia="zh-CN"/>
              </w:rPr>
              <w:t>名称</w:t>
            </w:r>
          </w:p>
        </w:tc>
        <w:tc>
          <w:tcPr>
            <w:tcW w:w="1166" w:type="pct"/>
            <w:tcBorders>
              <w:top w:val="outset" w:color="auto" w:sz="6" w:space="0"/>
              <w:left w:val="outset" w:color="auto" w:sz="8" w:space="0"/>
              <w:bottom w:val="outset" w:color="auto" w:sz="8" w:space="0"/>
              <w:right w:val="outset" w:color="auto" w:sz="8" w:space="0"/>
            </w:tcBorders>
            <w:shd w:val="clear" w:color="auto" w:fill="auto"/>
            <w:vAlign w:val="center"/>
          </w:tcPr>
          <w:p w14:paraId="176D5161">
            <w:pPr>
              <w:keepNext w:val="0"/>
              <w:keepLines w:val="0"/>
              <w:pageBreakBefore w:val="0"/>
              <w:widowControl/>
              <w:kinsoku/>
              <w:wordWrap/>
              <w:topLinePunct w:val="0"/>
              <w:bidi w:val="0"/>
              <w:spacing w:line="360" w:lineRule="auto"/>
              <w:jc w:val="center"/>
              <w:rPr>
                <w:rFonts w:hint="eastAsia" w:asciiTheme="minorEastAsia" w:hAnsiTheme="minorEastAsia" w:eastAsiaTheme="minorEastAsia" w:cstheme="minorEastAsia"/>
                <w:b/>
                <w:bCs/>
                <w:color w:val="auto"/>
                <w:sz w:val="24"/>
                <w:szCs w:val="24"/>
              </w:rPr>
            </w:pPr>
            <w:r>
              <w:rPr>
                <w:rFonts w:hint="eastAsia" w:ascii="宋体" w:hAnsi="宋体" w:eastAsia="宋体" w:cs="宋体"/>
                <w:bCs/>
                <w:color w:val="auto"/>
                <w:sz w:val="24"/>
              </w:rPr>
              <w:t>租赁期限（租赁期）</w:t>
            </w:r>
          </w:p>
        </w:tc>
        <w:tc>
          <w:tcPr>
            <w:tcW w:w="1006" w:type="dxa"/>
            <w:tcBorders>
              <w:top w:val="outset" w:color="auto" w:sz="6" w:space="0"/>
              <w:left w:val="outset" w:color="auto" w:sz="8" w:space="0"/>
              <w:bottom w:val="outset" w:color="auto" w:sz="8" w:space="0"/>
              <w:right w:val="outset" w:color="auto" w:sz="8" w:space="0"/>
            </w:tcBorders>
            <w:shd w:val="clear" w:color="auto" w:fill="auto"/>
            <w:vAlign w:val="center"/>
          </w:tcPr>
          <w:p w14:paraId="6459B267">
            <w:pPr>
              <w:widowControl/>
              <w:spacing w:line="380" w:lineRule="exact"/>
              <w:jc w:val="center"/>
              <w:rPr>
                <w:rFonts w:hint="eastAsia" w:asciiTheme="minorEastAsia" w:hAnsiTheme="minorEastAsia" w:eastAsiaTheme="minorEastAsia" w:cstheme="minorEastAsia"/>
                <w:color w:val="auto"/>
                <w:kern w:val="0"/>
                <w:sz w:val="24"/>
              </w:rPr>
            </w:pPr>
            <w:r>
              <w:rPr>
                <w:rFonts w:hint="eastAsia" w:ascii="宋体" w:hAnsi="宋体" w:eastAsia="宋体" w:cs="宋体"/>
                <w:color w:val="auto"/>
                <w:sz w:val="24"/>
              </w:rPr>
              <w:t>数量</w:t>
            </w:r>
          </w:p>
        </w:tc>
        <w:tc>
          <w:tcPr>
            <w:tcW w:w="786" w:type="pct"/>
            <w:tcBorders>
              <w:top w:val="outset" w:color="auto" w:sz="6" w:space="0"/>
              <w:left w:val="outset" w:color="auto" w:sz="8" w:space="0"/>
              <w:bottom w:val="outset" w:color="auto" w:sz="8" w:space="0"/>
              <w:right w:val="outset" w:color="auto" w:sz="8" w:space="0"/>
            </w:tcBorders>
            <w:shd w:val="clear" w:color="auto" w:fill="auto"/>
            <w:vAlign w:val="center"/>
          </w:tcPr>
          <w:p w14:paraId="745D215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竞价单价（元）</w:t>
            </w:r>
          </w:p>
        </w:tc>
        <w:tc>
          <w:tcPr>
            <w:tcW w:w="764" w:type="pct"/>
            <w:tcBorders>
              <w:top w:val="outset" w:color="auto" w:sz="6" w:space="0"/>
              <w:left w:val="outset" w:color="auto" w:sz="8" w:space="0"/>
              <w:bottom w:val="outset" w:color="auto" w:sz="8" w:space="0"/>
              <w:right w:val="outset" w:color="auto" w:sz="8" w:space="0"/>
            </w:tcBorders>
            <w:shd w:val="clear" w:color="auto" w:fill="auto"/>
            <w:vAlign w:val="center"/>
          </w:tcPr>
          <w:p w14:paraId="05FE45F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竞价</w:t>
            </w:r>
            <w:r>
              <w:rPr>
                <w:rFonts w:hint="eastAsia" w:asciiTheme="minorEastAsia" w:hAnsiTheme="minorEastAsia" w:eastAsiaTheme="minorEastAsia" w:cstheme="minorEastAsia"/>
                <w:color w:val="auto"/>
                <w:kern w:val="0"/>
                <w:sz w:val="24"/>
                <w:lang w:eastAsia="zh-CN"/>
              </w:rPr>
              <w:t>总价</w:t>
            </w:r>
            <w:r>
              <w:rPr>
                <w:rFonts w:hint="eastAsia" w:asciiTheme="minorEastAsia" w:hAnsiTheme="minorEastAsia" w:eastAsiaTheme="minorEastAsia" w:cstheme="minorEastAsia"/>
                <w:color w:val="auto"/>
                <w:kern w:val="0"/>
                <w:sz w:val="24"/>
              </w:rPr>
              <w:t>（元）</w:t>
            </w:r>
          </w:p>
        </w:tc>
      </w:tr>
      <w:tr w14:paraId="7112BBD5">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CellMar>
            <w:top w:w="0" w:type="dxa"/>
            <w:left w:w="0" w:type="dxa"/>
            <w:bottom w:w="0" w:type="dxa"/>
            <w:right w:w="0" w:type="dxa"/>
          </w:tblCellMar>
        </w:tblPrEx>
        <w:trPr>
          <w:jc w:val="center"/>
        </w:trPr>
        <w:tc>
          <w:tcPr>
            <w:tcW w:w="468" w:type="pct"/>
            <w:tcBorders>
              <w:top w:val="outset" w:color="auto" w:sz="6" w:space="0"/>
              <w:left w:val="outset" w:color="auto" w:sz="8" w:space="0"/>
              <w:bottom w:val="outset" w:color="auto" w:sz="8" w:space="0"/>
              <w:right w:val="outset" w:color="auto" w:sz="8" w:space="0"/>
            </w:tcBorders>
            <w:shd w:val="clear" w:color="auto" w:fill="auto"/>
            <w:vAlign w:val="center"/>
          </w:tcPr>
          <w:p w14:paraId="34992C2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kern w:val="0"/>
                <w:sz w:val="24"/>
              </w:rPr>
            </w:pPr>
            <w:r>
              <w:rPr>
                <w:rFonts w:hint="eastAsia" w:asciiTheme="minorEastAsia" w:hAnsiTheme="minorEastAsia" w:eastAsiaTheme="minorEastAsia" w:cstheme="minorEastAsia"/>
                <w:color w:val="auto"/>
                <w:kern w:val="0"/>
                <w:sz w:val="24"/>
              </w:rPr>
              <w:t>1</w:t>
            </w:r>
          </w:p>
        </w:tc>
        <w:tc>
          <w:tcPr>
            <w:tcW w:w="1214" w:type="pct"/>
            <w:tcBorders>
              <w:top w:val="outset" w:color="auto" w:sz="6" w:space="0"/>
              <w:left w:val="outset" w:color="auto" w:sz="8" w:space="0"/>
              <w:bottom w:val="outset" w:color="auto" w:sz="8" w:space="0"/>
              <w:right w:val="outset" w:color="auto" w:sz="8" w:space="0"/>
            </w:tcBorders>
            <w:shd w:val="clear" w:color="auto" w:fill="auto"/>
            <w:vAlign w:val="center"/>
          </w:tcPr>
          <w:p w14:paraId="0C2F0AA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kern w:val="0"/>
                <w:sz w:val="24"/>
              </w:rPr>
            </w:pPr>
            <w:r>
              <w:rPr>
                <w:rFonts w:hint="eastAsia" w:asciiTheme="minorEastAsia" w:hAnsiTheme="minorEastAsia" w:cstheme="minorEastAsia"/>
                <w:color w:val="auto"/>
                <w:kern w:val="0"/>
                <w:sz w:val="24"/>
                <w:lang w:val="en-US" w:eastAsia="zh-CN"/>
              </w:rPr>
              <w:t>2026年福建省人工智能工程技术职业技能竞赛平台租赁服务</w:t>
            </w:r>
          </w:p>
        </w:tc>
        <w:tc>
          <w:tcPr>
            <w:tcW w:w="1166" w:type="pct"/>
            <w:tcBorders>
              <w:top w:val="outset" w:color="auto" w:sz="6" w:space="0"/>
              <w:left w:val="outset" w:color="auto" w:sz="8" w:space="0"/>
              <w:bottom w:val="outset" w:color="auto" w:sz="8" w:space="0"/>
              <w:right w:val="outset" w:color="auto" w:sz="8" w:space="0"/>
            </w:tcBorders>
            <w:shd w:val="clear" w:color="auto" w:fill="auto"/>
            <w:vAlign w:val="center"/>
          </w:tcPr>
          <w:p w14:paraId="51F8B19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asciiTheme="minorEastAsia" w:hAnsiTheme="minorEastAsia" w:cstheme="minorEastAsia"/>
                <w:color w:val="auto"/>
                <w:sz w:val="24"/>
                <w:szCs w:val="24"/>
                <w:lang w:val="en-US" w:eastAsia="zh-CN"/>
              </w:rPr>
            </w:pPr>
            <w:r>
              <w:rPr>
                <w:rFonts w:hint="eastAsia" w:ascii="宋体" w:hAnsi="宋体" w:eastAsia="宋体" w:cs="宋体"/>
                <w:color w:val="auto"/>
                <w:kern w:val="0"/>
                <w:sz w:val="24"/>
                <w:lang w:eastAsia="zh-CN"/>
              </w:rPr>
              <w:t>合同签订之日至2026年11月3日竞赛结束。</w:t>
            </w:r>
          </w:p>
        </w:tc>
        <w:tc>
          <w:tcPr>
            <w:tcW w:w="1006" w:type="dxa"/>
            <w:tcBorders>
              <w:top w:val="outset" w:color="auto" w:sz="6" w:space="0"/>
              <w:left w:val="outset" w:color="auto" w:sz="8" w:space="0"/>
              <w:bottom w:val="outset" w:color="auto" w:sz="8" w:space="0"/>
              <w:right w:val="outset" w:color="auto" w:sz="8" w:space="0"/>
            </w:tcBorders>
            <w:shd w:val="clear" w:color="auto" w:fill="auto"/>
            <w:vAlign w:val="center"/>
          </w:tcPr>
          <w:p w14:paraId="4FF37150">
            <w:pPr>
              <w:widowControl/>
              <w:spacing w:line="380" w:lineRule="exact"/>
              <w:jc w:val="center"/>
              <w:rPr>
                <w:rFonts w:hint="eastAsia" w:asciiTheme="minorEastAsia" w:hAnsiTheme="minorEastAsia" w:cstheme="minorEastAsia"/>
                <w:color w:val="auto"/>
                <w:sz w:val="24"/>
                <w:szCs w:val="24"/>
                <w:lang w:val="en-US" w:eastAsia="zh-CN"/>
              </w:rPr>
            </w:pPr>
            <w:r>
              <w:rPr>
                <w:rFonts w:hint="eastAsia" w:ascii="宋体" w:hAnsi="宋体" w:eastAsia="宋体" w:cs="宋体"/>
                <w:color w:val="auto"/>
                <w:kern w:val="0"/>
                <w:sz w:val="24"/>
              </w:rPr>
              <w:t>1项</w:t>
            </w:r>
          </w:p>
        </w:tc>
        <w:tc>
          <w:tcPr>
            <w:tcW w:w="786" w:type="pct"/>
            <w:tcBorders>
              <w:top w:val="outset" w:color="auto" w:sz="6" w:space="0"/>
              <w:left w:val="outset" w:color="auto" w:sz="8" w:space="0"/>
              <w:bottom w:val="outset" w:color="auto" w:sz="8" w:space="0"/>
              <w:right w:val="outset" w:color="auto" w:sz="8" w:space="0"/>
            </w:tcBorders>
            <w:shd w:val="clear" w:color="auto" w:fill="auto"/>
            <w:vAlign w:val="center"/>
          </w:tcPr>
          <w:p w14:paraId="1B9EA580">
            <w:pPr>
              <w:keepNext w:val="0"/>
              <w:keepLines w:val="0"/>
              <w:pageBreakBefore w:val="0"/>
              <w:widowControl/>
              <w:suppressLineNumbers w:val="0"/>
              <w:kinsoku/>
              <w:wordWrap/>
              <w:overflowPunct/>
              <w:topLinePunct w:val="0"/>
              <w:autoSpaceDE/>
              <w:autoSpaceDN/>
              <w:bidi w:val="0"/>
              <w:adjustRightInd/>
              <w:snapToGrid/>
              <w:spacing w:line="360" w:lineRule="auto"/>
              <w:ind w:left="0" w:right="0"/>
              <w:jc w:val="center"/>
              <w:textAlignment w:val="baseline"/>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96500</w:t>
            </w:r>
            <w:r>
              <w:rPr>
                <w:rFonts w:hint="eastAsia" w:asciiTheme="minorEastAsia" w:hAnsiTheme="minorEastAsia" w:eastAsiaTheme="minorEastAsia" w:cstheme="minorEastAsia"/>
                <w:color w:val="auto"/>
                <w:sz w:val="24"/>
                <w:szCs w:val="24"/>
                <w:lang w:val="en-US" w:eastAsia="zh-CN"/>
              </w:rPr>
              <w:t>.00</w:t>
            </w:r>
          </w:p>
        </w:tc>
        <w:tc>
          <w:tcPr>
            <w:tcW w:w="764" w:type="pct"/>
            <w:tcBorders>
              <w:top w:val="outset" w:color="auto" w:sz="6" w:space="0"/>
              <w:left w:val="outset" w:color="auto" w:sz="8" w:space="0"/>
              <w:bottom w:val="outset" w:color="auto" w:sz="8" w:space="0"/>
              <w:right w:val="outset" w:color="auto" w:sz="8" w:space="0"/>
            </w:tcBorders>
            <w:shd w:val="clear" w:color="auto" w:fill="auto"/>
            <w:vAlign w:val="center"/>
          </w:tcPr>
          <w:p w14:paraId="6816FB23">
            <w:pPr>
              <w:keepNext w:val="0"/>
              <w:keepLines w:val="0"/>
              <w:pageBreakBefore w:val="0"/>
              <w:widowControl/>
              <w:suppressLineNumbers w:val="0"/>
              <w:kinsoku/>
              <w:wordWrap/>
              <w:overflowPunct/>
              <w:topLinePunct w:val="0"/>
              <w:autoSpaceDE/>
              <w:autoSpaceDN/>
              <w:bidi w:val="0"/>
              <w:adjustRightInd/>
              <w:snapToGrid/>
              <w:spacing w:line="360" w:lineRule="auto"/>
              <w:ind w:left="0" w:right="0"/>
              <w:jc w:val="center"/>
              <w:textAlignment w:val="baseline"/>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96500</w:t>
            </w:r>
            <w:r>
              <w:rPr>
                <w:rFonts w:hint="eastAsia" w:asciiTheme="minorEastAsia" w:hAnsiTheme="minorEastAsia" w:eastAsiaTheme="minorEastAsia" w:cstheme="minorEastAsia"/>
                <w:color w:val="auto"/>
                <w:sz w:val="24"/>
                <w:szCs w:val="24"/>
                <w:lang w:val="en-US" w:eastAsia="zh-CN"/>
              </w:rPr>
              <w:t>.00</w:t>
            </w:r>
          </w:p>
        </w:tc>
      </w:tr>
    </w:tbl>
    <w:p w14:paraId="77CF1D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五、代理服务收费标准及金额：</w:t>
      </w:r>
    </w:p>
    <w:p w14:paraId="247F76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本项目代理费收费标准：</w:t>
      </w:r>
      <w:bookmarkStart w:id="0" w:name="_GoBack"/>
      <w:bookmarkEnd w:id="0"/>
    </w:p>
    <w:p w14:paraId="053C68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1、</w:t>
      </w:r>
      <w:r>
        <w:rPr>
          <w:rFonts w:hint="eastAsia" w:asciiTheme="minorEastAsia" w:hAnsiTheme="minorEastAsia" w:eastAsiaTheme="minorEastAsia" w:cstheme="minorEastAsia"/>
          <w:color w:val="auto"/>
        </w:rPr>
        <w:t>按照成交金额的1.5%收取。</w:t>
      </w:r>
    </w:p>
    <w:p w14:paraId="03074A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2、</w:t>
      </w:r>
      <w:r>
        <w:rPr>
          <w:rFonts w:hint="eastAsia" w:asciiTheme="minorEastAsia" w:hAnsiTheme="minorEastAsia" w:eastAsiaTheme="minorEastAsia" w:cstheme="minorEastAsia"/>
          <w:bCs/>
          <w:color w:val="auto"/>
          <w:sz w:val="24"/>
        </w:rPr>
        <w:t>成交供应商应在领取成交通知书的同时按规定的标准一次性向采购代理机构缴清代理服务费。</w:t>
      </w:r>
    </w:p>
    <w:p w14:paraId="54CF56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3、缴纳代理费账户信息：</w:t>
      </w:r>
    </w:p>
    <w:p w14:paraId="320EA8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开户名：福建德晟项目管理有限公司</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开户行：兴业银行股份有限公司福州华林支行</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账号：117130100100369833</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w:t>
      </w:r>
    </w:p>
    <w:p w14:paraId="4F80D3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i w:val="0"/>
          <w:iCs w:val="0"/>
          <w:caps w:val="0"/>
          <w:color w:val="auto"/>
          <w:spacing w:val="0"/>
          <w:sz w:val="24"/>
          <w:szCs w:val="24"/>
          <w:shd w:val="clear" w:fill="FFFFFF"/>
          <w:vertAlign w:val="baseline"/>
        </w:rPr>
        <w:t>本项目代理费总金额：</w:t>
      </w:r>
      <w:r>
        <w:rPr>
          <w:rFonts w:hint="eastAsia" w:asciiTheme="minorEastAsia" w:hAnsiTheme="minorEastAsia" w:cstheme="minorEastAsia"/>
          <w:b/>
          <w:bCs/>
          <w:i w:val="0"/>
          <w:iCs w:val="0"/>
          <w:caps w:val="0"/>
          <w:color w:val="auto"/>
          <w:spacing w:val="0"/>
          <w:sz w:val="24"/>
          <w:szCs w:val="24"/>
          <w:shd w:val="clear" w:fill="FFFFFF"/>
          <w:vertAlign w:val="baseline"/>
          <w:lang w:val="en-US" w:eastAsia="zh-CN"/>
        </w:rPr>
        <w:t>1447.5</w:t>
      </w:r>
      <w:r>
        <w:rPr>
          <w:rFonts w:hint="eastAsia" w:asciiTheme="minorEastAsia" w:hAnsiTheme="minorEastAsia" w:eastAsiaTheme="minorEastAsia" w:cstheme="minorEastAsia"/>
          <w:b/>
          <w:bCs/>
          <w:i w:val="0"/>
          <w:iCs w:val="0"/>
          <w:caps w:val="0"/>
          <w:color w:val="auto"/>
          <w:spacing w:val="0"/>
          <w:sz w:val="24"/>
          <w:szCs w:val="24"/>
          <w:shd w:val="clear" w:fill="FFFFFF"/>
          <w:vertAlign w:val="baseline"/>
        </w:rPr>
        <w:t>元（人民币）</w:t>
      </w:r>
    </w:p>
    <w:p w14:paraId="0B2938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lang w:eastAsia="zh-CN"/>
        </w:rPr>
        <w:t>六</w:t>
      </w: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、公告期限</w:t>
      </w:r>
    </w:p>
    <w:p w14:paraId="490259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自本公告发布之日起1个工作日。</w:t>
      </w:r>
    </w:p>
    <w:p w14:paraId="681139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lang w:eastAsia="zh-CN"/>
        </w:rPr>
        <w:t>七</w:t>
      </w: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、其它补充事宜</w:t>
      </w:r>
    </w:p>
    <w:p w14:paraId="09E140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Cs/>
          <w:color w:val="auto"/>
          <w:szCs w:val="24"/>
          <w:lang w:eastAsia="zh-CN"/>
        </w:rPr>
        <w:t>根据竞价文件的要求，审核小组对各报价人的报名材料及电子档报价文件进行审核，各报价人的报名材料及报价文件均符合竞价文件要求。</w:t>
      </w:r>
    </w:p>
    <w:p w14:paraId="07950F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lang w:eastAsia="zh-CN"/>
        </w:rPr>
        <w:t>八</w:t>
      </w: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、凡对本次公告内容提出询问，请按以下方式联系。</w:t>
      </w:r>
    </w:p>
    <w:p w14:paraId="08F918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1.采购人信息</w:t>
      </w:r>
    </w:p>
    <w:p w14:paraId="587EEB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名称：</w:t>
      </w:r>
      <w:r>
        <w:rPr>
          <w:rFonts w:hint="eastAsia" w:asciiTheme="minorEastAsia" w:hAnsiTheme="minorEastAsia" w:cstheme="minorEastAsia"/>
          <w:bCs/>
          <w:color w:val="auto"/>
          <w:szCs w:val="24"/>
          <w:lang w:eastAsia="zh-CN"/>
        </w:rPr>
        <w:t>福州职业技术大学</w:t>
      </w:r>
    </w:p>
    <w:p w14:paraId="330D32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地址：</w:t>
      </w:r>
      <w:r>
        <w:rPr>
          <w:rFonts w:hint="eastAsia" w:asciiTheme="minorEastAsia" w:hAnsiTheme="minorEastAsia" w:eastAsiaTheme="minorEastAsia" w:cstheme="minorEastAsia"/>
          <w:bCs/>
          <w:color w:val="auto"/>
          <w:szCs w:val="24"/>
          <w:lang w:val="en-US" w:eastAsia="zh-CN"/>
        </w:rPr>
        <w:t>福建省</w:t>
      </w:r>
      <w:r>
        <w:rPr>
          <w:rFonts w:hint="eastAsia" w:asciiTheme="minorEastAsia" w:hAnsiTheme="minorEastAsia" w:eastAsiaTheme="minorEastAsia" w:cstheme="minorEastAsia"/>
          <w:bCs/>
          <w:color w:val="auto"/>
          <w:szCs w:val="24"/>
          <w:lang w:eastAsia="zh-CN"/>
        </w:rPr>
        <w:t>福州市</w:t>
      </w:r>
      <w:r>
        <w:rPr>
          <w:rFonts w:hint="eastAsia" w:asciiTheme="minorEastAsia" w:hAnsiTheme="minorEastAsia" w:eastAsiaTheme="minorEastAsia" w:cstheme="minorEastAsia"/>
          <w:bCs/>
          <w:color w:val="auto"/>
          <w:szCs w:val="24"/>
          <w:lang w:val="en-US" w:eastAsia="zh-CN"/>
        </w:rPr>
        <w:t>大学城联榕路8号</w:t>
      </w:r>
    </w:p>
    <w:p w14:paraId="5EEED2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联系方式：</w:t>
      </w:r>
      <w:r>
        <w:rPr>
          <w:rFonts w:hint="eastAsia" w:ascii="宋体" w:hAnsi="宋体" w:eastAsia="宋体" w:cs="宋体"/>
          <w:color w:val="auto"/>
          <w:sz w:val="24"/>
          <w:lang w:val="en-US" w:eastAsia="zh-CN"/>
        </w:rPr>
        <w:t>陈炜15968838328</w:t>
      </w:r>
    </w:p>
    <w:p w14:paraId="3AFBE7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2.采购代理机构信息</w:t>
      </w:r>
    </w:p>
    <w:p w14:paraId="6C9127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名称：福建德晟项目管理有限公司</w:t>
      </w:r>
    </w:p>
    <w:p w14:paraId="0734FF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地址：福州市晋安区王庄街道珠宝路2号珠宝城406室</w:t>
      </w:r>
    </w:p>
    <w:p w14:paraId="624C90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联系方式：汤淑敏、宋芳、石铧0591-87713855</w:t>
      </w:r>
    </w:p>
    <w:p w14:paraId="73F959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3.项目联系方式</w:t>
      </w:r>
    </w:p>
    <w:p w14:paraId="3020DA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项目联系人：汤淑敏、宋芳、石铧</w:t>
      </w:r>
    </w:p>
    <w:p w14:paraId="6E1869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电话：0591-87713855</w:t>
      </w:r>
    </w:p>
    <w:p w14:paraId="72621C7C">
      <w:pPr>
        <w:keepNext w:val="0"/>
        <w:keepLines w:val="0"/>
        <w:pageBreakBefore w:val="0"/>
        <w:kinsoku/>
        <w:wordWrap/>
        <w:overflowPunct/>
        <w:topLinePunct w:val="0"/>
        <w:autoSpaceDE/>
        <w:autoSpaceDN/>
        <w:bidi w:val="0"/>
        <w:adjustRightInd/>
        <w:snapToGrid/>
        <w:spacing w:line="360" w:lineRule="auto"/>
        <w:ind w:left="0" w:right="0"/>
        <w:rPr>
          <w:rFonts w:hint="eastAsia" w:asciiTheme="minorEastAsia" w:hAnsiTheme="minorEastAsia" w:eastAsiaTheme="minorEastAsia" w:cstheme="minorEastAsia"/>
          <w:color w:val="auto"/>
          <w:sz w:val="24"/>
          <w:szCs w:val="24"/>
        </w:rPr>
      </w:pPr>
    </w:p>
    <w:p w14:paraId="1D1C02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jc w:val="right"/>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p>
    <w:p w14:paraId="488192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jc w:val="right"/>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福建德晟项目管理有限公司</w:t>
      </w:r>
    </w:p>
    <w:p w14:paraId="7031ADED">
      <w:pPr>
        <w:keepNext w:val="0"/>
        <w:keepLines w:val="0"/>
        <w:pageBreakBefore w:val="0"/>
        <w:kinsoku/>
        <w:wordWrap w:val="0"/>
        <w:overflowPunct/>
        <w:topLinePunct w:val="0"/>
        <w:autoSpaceDE/>
        <w:autoSpaceDN/>
        <w:bidi w:val="0"/>
        <w:adjustRightInd/>
        <w:snapToGrid/>
        <w:spacing w:line="360" w:lineRule="auto"/>
        <w:ind w:left="0" w:right="0"/>
        <w:jc w:val="right"/>
        <w:rPr>
          <w:rFonts w:hint="eastAsia" w:ascii="宋体" w:hAnsi="宋体" w:eastAsia="宋体" w:cs="宋体"/>
          <w:color w:val="auto"/>
          <w:sz w:val="24"/>
          <w:szCs w:val="24"/>
        </w:rPr>
      </w:pPr>
      <w:r>
        <w:rPr>
          <w:rFonts w:hint="eastAsia" w:asciiTheme="minorEastAsia" w:hAnsiTheme="minorEastAsia" w:cstheme="minorEastAsia"/>
          <w:i w:val="0"/>
          <w:iCs w:val="0"/>
          <w:caps w:val="0"/>
          <w:color w:val="auto"/>
          <w:spacing w:val="0"/>
          <w:sz w:val="24"/>
          <w:szCs w:val="24"/>
          <w:shd w:val="clear" w:fill="FFFFFF"/>
          <w:vertAlign w:val="baseline"/>
          <w:lang w:val="en-US" w:eastAsia="zh-CN"/>
        </w:rPr>
        <w:t>2026年10月27日</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　　</w:t>
      </w:r>
    </w:p>
    <w:p w14:paraId="462EE087">
      <w:pPr>
        <w:keepNext w:val="0"/>
        <w:keepLines w:val="0"/>
        <w:pageBreakBefore w:val="0"/>
        <w:kinsoku/>
        <w:wordWrap/>
        <w:overflowPunct/>
        <w:topLinePunct w:val="0"/>
        <w:autoSpaceDE/>
        <w:autoSpaceDN/>
        <w:bidi w:val="0"/>
        <w:adjustRightInd/>
        <w:snapToGrid/>
        <w:spacing w:line="360" w:lineRule="auto"/>
        <w:ind w:left="0" w:right="0"/>
        <w:rPr>
          <w:rFonts w:hint="eastAsia"/>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854E9C"/>
    <w:multiLevelType w:val="singleLevel"/>
    <w:tmpl w:val="2F854E9C"/>
    <w:lvl w:ilvl="0" w:tentative="0">
      <w:start w:val="1"/>
      <w:numFmt w:val="decimal"/>
      <w:pStyle w:val="3"/>
      <w:lvlText w:val="%1."/>
      <w:lvlJc w:val="left"/>
      <w:pPr>
        <w:tabs>
          <w:tab w:val="left" w:pos="425"/>
        </w:tabs>
        <w:ind w:left="425" w:hanging="42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3NGIzYTQ3NDcyNTJkZmJmMzQzYjhiOTdhN2UwMDgifQ=="/>
  </w:docVars>
  <w:rsids>
    <w:rsidRoot w:val="00000000"/>
    <w:rsid w:val="000D2725"/>
    <w:rsid w:val="00494FFB"/>
    <w:rsid w:val="045A7788"/>
    <w:rsid w:val="08E104C7"/>
    <w:rsid w:val="0BB96823"/>
    <w:rsid w:val="0BED31D0"/>
    <w:rsid w:val="0D0F79FF"/>
    <w:rsid w:val="0F956265"/>
    <w:rsid w:val="12094FE5"/>
    <w:rsid w:val="12995819"/>
    <w:rsid w:val="13BA3DEE"/>
    <w:rsid w:val="15F111F0"/>
    <w:rsid w:val="163915C1"/>
    <w:rsid w:val="1A701454"/>
    <w:rsid w:val="208B3EDD"/>
    <w:rsid w:val="2366094E"/>
    <w:rsid w:val="242B03F0"/>
    <w:rsid w:val="290D5ED8"/>
    <w:rsid w:val="2B6545F3"/>
    <w:rsid w:val="2BF042D5"/>
    <w:rsid w:val="2CD5279B"/>
    <w:rsid w:val="2EC02E04"/>
    <w:rsid w:val="2F48454C"/>
    <w:rsid w:val="314D7BF8"/>
    <w:rsid w:val="32A675AC"/>
    <w:rsid w:val="33A8172E"/>
    <w:rsid w:val="363A2508"/>
    <w:rsid w:val="3760520A"/>
    <w:rsid w:val="3FA94B93"/>
    <w:rsid w:val="404A69D1"/>
    <w:rsid w:val="44EE141E"/>
    <w:rsid w:val="4AC705C3"/>
    <w:rsid w:val="56486589"/>
    <w:rsid w:val="575C2164"/>
    <w:rsid w:val="58975A79"/>
    <w:rsid w:val="5C787AB7"/>
    <w:rsid w:val="61570F1B"/>
    <w:rsid w:val="66964BB3"/>
    <w:rsid w:val="67204E8B"/>
    <w:rsid w:val="681D761D"/>
    <w:rsid w:val="6B5D486C"/>
    <w:rsid w:val="6D390A55"/>
    <w:rsid w:val="73064465"/>
    <w:rsid w:val="74151E00"/>
    <w:rsid w:val="74E702E6"/>
    <w:rsid w:val="75C6059E"/>
    <w:rsid w:val="76AA2F96"/>
    <w:rsid w:val="783B1445"/>
    <w:rsid w:val="796055BB"/>
    <w:rsid w:val="79C927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4"/>
    <w:basedOn w:val="1"/>
    <w:next w:val="1"/>
    <w:qFormat/>
    <w:uiPriority w:val="0"/>
    <w:pPr>
      <w:keepNext/>
      <w:keepLines/>
      <w:numPr>
        <w:ilvl w:val="0"/>
        <w:numId w:val="1"/>
      </w:numPr>
      <w:spacing w:before="360" w:line="240" w:lineRule="exact"/>
      <w:outlineLvl w:val="3"/>
    </w:pPr>
    <w:rPr>
      <w:rFonts w:ascii="宋体"/>
      <w:sz w:val="28"/>
      <w:szCs w:val="20"/>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664</Words>
  <Characters>790</Characters>
  <Lines>0</Lines>
  <Paragraphs>0</Paragraphs>
  <TotalTime>2</TotalTime>
  <ScaleCrop>false</ScaleCrop>
  <LinksUpToDate>false</LinksUpToDate>
  <CharactersWithSpaces>797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2022-07-01T07:37:00Z</dcterms:created>
  <dc:creator>Administrator</dc:creator>
  <cp:lastModifiedBy>DS</cp:lastModifiedBy>
  <dcterms:modified xsi:type="dcterms:W3CDTF">2026-10-27T07:07:08Z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2DFD69627E074730BC3D3A1791D86456</vt:lpwstr>
  </property>
  <property fmtid="{D5CDD505-2E9C-101B-9397-08002B2CF9AE}" pid="4" name="KSOTemplateDocerSaveRecord">
    <vt:lpwstr>eyJoZGlkIjoiYWY2YTdhM2JkYzRiNjNhM2NjM2E1NTQwMDU0MWU3Y2MiLCJ1c2VySWQiOiIzNzQzMDU0OTAifQ==</vt:lpwstr>
  </property>
</Properties>
</file>