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DE6AAC">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ascii="仿宋" w:hAnsi="仿宋" w:eastAsia="仿宋" w:cs="仿宋"/>
          <w:b/>
          <w:bCs/>
          <w:i w:val="0"/>
          <w:iCs w:val="0"/>
          <w:caps w:val="0"/>
          <w:color w:val="auto"/>
          <w:spacing w:val="0"/>
          <w:sz w:val="33"/>
          <w:szCs w:val="33"/>
          <w:shd w:val="clear" w:fill="FFFFFF"/>
        </w:rPr>
      </w:pPr>
      <w:r>
        <w:rPr>
          <w:rFonts w:hint="eastAsia" w:ascii="仿宋" w:hAnsi="仿宋" w:eastAsia="仿宋" w:cs="仿宋"/>
          <w:b/>
          <w:bCs/>
          <w:i w:val="0"/>
          <w:iCs w:val="0"/>
          <w:caps w:val="0"/>
          <w:color w:val="auto"/>
          <w:spacing w:val="0"/>
          <w:sz w:val="33"/>
          <w:szCs w:val="33"/>
          <w:shd w:val="clear" w:fill="FFFFFF"/>
        </w:rPr>
        <w:t>人工智能技术应用专业群实训基地-数字化远程实训平台</w:t>
      </w:r>
    </w:p>
    <w:p w14:paraId="58024E4D">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ascii="仿宋" w:hAnsi="仿宋" w:eastAsia="仿宋" w:cs="仿宋"/>
          <w:i w:val="0"/>
          <w:iCs w:val="0"/>
          <w:caps w:val="0"/>
          <w:color w:val="auto"/>
          <w:spacing w:val="0"/>
          <w:sz w:val="24"/>
          <w:szCs w:val="24"/>
          <w:shd w:val="clear" w:fill="FFFFFF"/>
        </w:rPr>
      </w:pPr>
      <w:r>
        <w:rPr>
          <w:rFonts w:hint="eastAsia" w:ascii="仿宋" w:hAnsi="仿宋" w:eastAsia="仿宋" w:cs="仿宋"/>
          <w:b/>
          <w:bCs/>
          <w:i w:val="0"/>
          <w:iCs w:val="0"/>
          <w:caps w:val="0"/>
          <w:color w:val="auto"/>
          <w:spacing w:val="0"/>
          <w:sz w:val="33"/>
          <w:szCs w:val="33"/>
          <w:shd w:val="clear" w:fill="FFFFFF"/>
        </w:rPr>
        <w:t>采购更正公告（第一次）</w:t>
      </w:r>
    </w:p>
    <w:p w14:paraId="2ACE64B5">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仿宋" w:hAnsi="仿宋" w:eastAsia="仿宋" w:cs="仿宋"/>
          <w:i w:val="0"/>
          <w:iCs w:val="0"/>
          <w:caps w:val="0"/>
          <w:color w:val="auto"/>
          <w:spacing w:val="0"/>
          <w:sz w:val="24"/>
          <w:szCs w:val="24"/>
          <w:shd w:val="clear" w:fill="FFFFFF"/>
        </w:rPr>
      </w:pPr>
    </w:p>
    <w:p w14:paraId="482630F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0"/>
        <w:jc w:val="left"/>
        <w:textAlignment w:val="auto"/>
        <w:outlineLvl w:val="9"/>
        <w:rPr>
          <w:rFonts w:hint="eastAsia" w:ascii="仿宋" w:hAnsi="仿宋" w:eastAsia="仿宋" w:cs="仿宋"/>
          <w:b w:val="0"/>
          <w:bCs w:val="0"/>
          <w:i w:val="0"/>
          <w:iCs w:val="0"/>
          <w:caps w:val="0"/>
          <w:color w:val="auto"/>
          <w:spacing w:val="0"/>
          <w:sz w:val="24"/>
          <w:szCs w:val="24"/>
        </w:rPr>
      </w:pPr>
      <w:r>
        <w:rPr>
          <w:rStyle w:val="8"/>
          <w:rFonts w:hint="eastAsia" w:ascii="仿宋" w:hAnsi="仿宋" w:eastAsia="仿宋" w:cs="仿宋"/>
          <w:b/>
          <w:bCs/>
          <w:i w:val="0"/>
          <w:iCs w:val="0"/>
          <w:caps w:val="0"/>
          <w:color w:val="auto"/>
          <w:spacing w:val="0"/>
          <w:sz w:val="24"/>
          <w:szCs w:val="24"/>
          <w:shd w:val="clear" w:fill="FFFFFF"/>
        </w:rPr>
        <w:t>一、项目基本情况</w:t>
      </w:r>
    </w:p>
    <w:p w14:paraId="37DE2A4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80"/>
        <w:jc w:val="both"/>
        <w:textAlignment w:val="auto"/>
        <w:outlineLvl w:val="9"/>
        <w:rPr>
          <w:rFonts w:hint="eastAsia" w:ascii="仿宋" w:hAnsi="仿宋" w:eastAsia="仿宋" w:cs="仿宋"/>
          <w:i w:val="0"/>
          <w:iCs w:val="0"/>
          <w:caps w:val="0"/>
          <w:color w:val="auto"/>
          <w:spacing w:val="0"/>
          <w:sz w:val="24"/>
          <w:szCs w:val="24"/>
          <w:highlight w:val="none"/>
          <w:shd w:val="clear" w:fill="FFFFFF"/>
        </w:rPr>
      </w:pPr>
      <w:r>
        <w:rPr>
          <w:rFonts w:hint="eastAsia" w:ascii="仿宋" w:hAnsi="仿宋" w:eastAsia="仿宋" w:cs="仿宋"/>
          <w:i w:val="0"/>
          <w:iCs w:val="0"/>
          <w:caps w:val="0"/>
          <w:color w:val="auto"/>
          <w:spacing w:val="0"/>
          <w:sz w:val="24"/>
          <w:szCs w:val="24"/>
          <w:shd w:val="clear" w:fill="FFFFFF"/>
        </w:rPr>
        <w:t>原公告的采购项目编号：[3</w:t>
      </w:r>
      <w:r>
        <w:rPr>
          <w:rFonts w:hint="eastAsia" w:ascii="仿宋" w:hAnsi="仿宋" w:eastAsia="仿宋" w:cs="仿宋"/>
          <w:i w:val="0"/>
          <w:iCs w:val="0"/>
          <w:caps w:val="0"/>
          <w:color w:val="auto"/>
          <w:spacing w:val="0"/>
          <w:sz w:val="24"/>
          <w:szCs w:val="24"/>
          <w:highlight w:val="none"/>
          <w:shd w:val="clear" w:fill="FFFFFF"/>
        </w:rPr>
        <w:t>50101]HSXM[GK]2026002</w:t>
      </w:r>
    </w:p>
    <w:p w14:paraId="3A5B381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80"/>
        <w:jc w:val="both"/>
        <w:textAlignment w:val="auto"/>
        <w:outlineLvl w:val="9"/>
        <w:rPr>
          <w:rFonts w:hint="eastAsia" w:ascii="仿宋" w:hAnsi="仿宋" w:eastAsia="仿宋" w:cs="仿宋"/>
          <w:i w:val="0"/>
          <w:iCs w:val="0"/>
          <w:caps w:val="0"/>
          <w:color w:val="auto"/>
          <w:spacing w:val="0"/>
          <w:sz w:val="24"/>
          <w:szCs w:val="24"/>
          <w:highlight w:val="none"/>
          <w:shd w:val="clear" w:fill="FFFFFF"/>
        </w:rPr>
      </w:pPr>
      <w:r>
        <w:rPr>
          <w:rFonts w:hint="eastAsia" w:ascii="仿宋" w:hAnsi="仿宋" w:eastAsia="仿宋" w:cs="仿宋"/>
          <w:i w:val="0"/>
          <w:iCs w:val="0"/>
          <w:caps w:val="0"/>
          <w:color w:val="auto"/>
          <w:spacing w:val="0"/>
          <w:sz w:val="24"/>
          <w:szCs w:val="24"/>
          <w:highlight w:val="none"/>
          <w:shd w:val="clear" w:fill="FFFFFF"/>
        </w:rPr>
        <w:t>原公告的采购项目名称：人工智能技术应用专业群实训基地-数字化远程实训平台</w:t>
      </w:r>
    </w:p>
    <w:p w14:paraId="6B2B1B4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80"/>
        <w:jc w:val="both"/>
        <w:textAlignment w:val="auto"/>
        <w:outlineLvl w:val="9"/>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sz w:val="24"/>
          <w:szCs w:val="24"/>
          <w:highlight w:val="none"/>
          <w:shd w:val="clear" w:fill="FFFFFF"/>
        </w:rPr>
        <w:t>首次公告日期：2026年09月22日</w:t>
      </w:r>
    </w:p>
    <w:p w14:paraId="334A9DC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0"/>
        <w:jc w:val="left"/>
        <w:textAlignment w:val="auto"/>
        <w:outlineLvl w:val="9"/>
        <w:rPr>
          <w:rFonts w:hint="eastAsia" w:ascii="仿宋" w:hAnsi="仿宋" w:eastAsia="仿宋" w:cs="仿宋"/>
          <w:b w:val="0"/>
          <w:bCs w:val="0"/>
          <w:i w:val="0"/>
          <w:iCs w:val="0"/>
          <w:caps w:val="0"/>
          <w:color w:val="222222"/>
          <w:spacing w:val="0"/>
          <w:sz w:val="24"/>
          <w:szCs w:val="24"/>
          <w:highlight w:val="none"/>
        </w:rPr>
      </w:pPr>
      <w:r>
        <w:rPr>
          <w:rStyle w:val="8"/>
          <w:rFonts w:hint="eastAsia" w:ascii="仿宋" w:hAnsi="仿宋" w:eastAsia="仿宋" w:cs="仿宋"/>
          <w:b/>
          <w:bCs/>
          <w:i w:val="0"/>
          <w:iCs w:val="0"/>
          <w:caps w:val="0"/>
          <w:color w:val="222222"/>
          <w:spacing w:val="0"/>
          <w:sz w:val="24"/>
          <w:szCs w:val="24"/>
          <w:highlight w:val="none"/>
          <w:shd w:val="clear" w:fill="FFFFFF"/>
        </w:rPr>
        <w:t>二、更正信息：</w:t>
      </w:r>
    </w:p>
    <w:p w14:paraId="51F0E08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both"/>
        <w:textAlignment w:val="auto"/>
        <w:outlineLvl w:val="9"/>
        <w:rPr>
          <w:rFonts w:hint="default" w:ascii="仿宋" w:hAnsi="仿宋" w:eastAsia="仿宋" w:cs="仿宋"/>
          <w:sz w:val="24"/>
          <w:szCs w:val="24"/>
          <w:highlight w:val="none"/>
          <w:lang w:val="en-US" w:eastAsia="zh-CN"/>
        </w:rPr>
      </w:pPr>
      <w:r>
        <w:rPr>
          <w:rFonts w:hint="eastAsia" w:ascii="仿宋" w:hAnsi="仿宋" w:eastAsia="仿宋" w:cs="仿宋"/>
          <w:i w:val="0"/>
          <w:iCs w:val="0"/>
          <w:caps w:val="0"/>
          <w:color w:val="222222"/>
          <w:spacing w:val="0"/>
          <w:sz w:val="24"/>
          <w:szCs w:val="24"/>
          <w:highlight w:val="none"/>
          <w:shd w:val="clear" w:fill="FFFFFF"/>
        </w:rPr>
        <w:t>更正事项：采购</w:t>
      </w:r>
      <w:r>
        <w:rPr>
          <w:rFonts w:hint="eastAsia" w:ascii="仿宋" w:hAnsi="仿宋" w:eastAsia="仿宋" w:cs="仿宋"/>
          <w:i w:val="0"/>
          <w:iCs w:val="0"/>
          <w:caps w:val="0"/>
          <w:color w:val="222222"/>
          <w:spacing w:val="0"/>
          <w:sz w:val="24"/>
          <w:szCs w:val="24"/>
          <w:highlight w:val="none"/>
          <w:shd w:val="clear" w:fill="FFFFFF"/>
          <w:lang w:val="en-US" w:eastAsia="zh-CN"/>
        </w:rPr>
        <w:t>文件和采购公告</w:t>
      </w:r>
    </w:p>
    <w:p w14:paraId="75E90C3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0" w:afterAutospacing="0" w:line="360" w:lineRule="auto"/>
        <w:ind w:left="0" w:right="0" w:firstLine="480"/>
        <w:jc w:val="both"/>
        <w:textAlignment w:val="auto"/>
        <w:outlineLvl w:val="9"/>
        <w:rPr>
          <w:rFonts w:hint="default" w:ascii="仿宋" w:hAnsi="仿宋" w:eastAsia="仿宋" w:cs="仿宋"/>
          <w:i w:val="0"/>
          <w:iCs w:val="0"/>
          <w:caps w:val="0"/>
          <w:color w:val="222222"/>
          <w:spacing w:val="0"/>
          <w:sz w:val="24"/>
          <w:szCs w:val="24"/>
          <w:highlight w:val="none"/>
          <w:lang w:val="en-US"/>
        </w:rPr>
      </w:pPr>
      <w:r>
        <w:rPr>
          <w:rFonts w:hint="eastAsia" w:ascii="仿宋" w:hAnsi="仿宋" w:eastAsia="仿宋" w:cs="仿宋"/>
          <w:i w:val="0"/>
          <w:iCs w:val="0"/>
          <w:caps w:val="0"/>
          <w:color w:val="222222"/>
          <w:spacing w:val="0"/>
          <w:kern w:val="0"/>
          <w:sz w:val="24"/>
          <w:szCs w:val="24"/>
          <w:highlight w:val="none"/>
          <w:shd w:val="clear" w:fill="FFFFFF"/>
          <w:lang w:val="en-US" w:eastAsia="zh-CN" w:bidi="ar"/>
        </w:rPr>
        <w:t>更正原因：</w:t>
      </w:r>
      <w:r>
        <w:rPr>
          <w:rFonts w:hint="eastAsia" w:ascii="仿宋" w:hAnsi="仿宋" w:eastAsia="仿宋" w:cs="仿宋"/>
          <w:i w:val="0"/>
          <w:iCs w:val="0"/>
          <w:caps w:val="0"/>
          <w:color w:val="auto"/>
          <w:spacing w:val="0"/>
          <w:sz w:val="24"/>
          <w:szCs w:val="24"/>
          <w:highlight w:val="none"/>
          <w:shd w:val="clear" w:fill="FFFFFF"/>
        </w:rPr>
        <w:t>接采购人通知，本项目</w:t>
      </w:r>
      <w:r>
        <w:rPr>
          <w:rFonts w:hint="eastAsia" w:ascii="仿宋" w:hAnsi="仿宋" w:eastAsia="仿宋" w:cs="仿宋"/>
          <w:i w:val="0"/>
          <w:iCs w:val="0"/>
          <w:caps w:val="0"/>
          <w:color w:val="auto"/>
          <w:spacing w:val="0"/>
          <w:sz w:val="24"/>
          <w:szCs w:val="24"/>
          <w:highlight w:val="none"/>
          <w:shd w:val="clear" w:fill="FFFFFF"/>
          <w:lang w:val="en-US" w:eastAsia="zh-CN"/>
        </w:rPr>
        <w:t>恢复</w:t>
      </w:r>
      <w:r>
        <w:rPr>
          <w:rFonts w:hint="eastAsia" w:ascii="仿宋" w:hAnsi="仿宋" w:eastAsia="仿宋" w:cs="仿宋"/>
          <w:i w:val="0"/>
          <w:iCs w:val="0"/>
          <w:caps w:val="0"/>
          <w:color w:val="auto"/>
          <w:spacing w:val="0"/>
          <w:sz w:val="24"/>
          <w:szCs w:val="24"/>
          <w:highlight w:val="none"/>
          <w:shd w:val="clear" w:fill="FFFFFF"/>
        </w:rPr>
        <w:t>采购</w:t>
      </w:r>
      <w:r>
        <w:rPr>
          <w:rFonts w:hint="eastAsia" w:ascii="仿宋" w:hAnsi="仿宋" w:eastAsia="仿宋" w:cs="仿宋"/>
          <w:i w:val="0"/>
          <w:iCs w:val="0"/>
          <w:caps w:val="0"/>
          <w:color w:val="auto"/>
          <w:spacing w:val="0"/>
          <w:sz w:val="24"/>
          <w:szCs w:val="24"/>
          <w:highlight w:val="none"/>
          <w:shd w:val="clear" w:fill="FFFFFF"/>
          <w:lang w:val="en-US" w:eastAsia="zh-CN"/>
        </w:rPr>
        <w:t>。</w:t>
      </w:r>
      <w:r>
        <w:rPr>
          <w:rFonts w:hint="eastAsia" w:ascii="仿宋" w:hAnsi="仿宋" w:eastAsia="仿宋" w:cs="仿宋"/>
          <w:i w:val="0"/>
          <w:iCs w:val="0"/>
          <w:caps w:val="0"/>
          <w:color w:val="auto"/>
          <w:spacing w:val="0"/>
          <w:sz w:val="24"/>
          <w:szCs w:val="24"/>
          <w:highlight w:val="none"/>
          <w:shd w:val="clear" w:fill="FFFFFF"/>
        </w:rPr>
        <w:t>修改采购文件，顺延</w:t>
      </w:r>
      <w:r>
        <w:rPr>
          <w:rFonts w:hint="eastAsia" w:ascii="仿宋" w:hAnsi="仿宋" w:eastAsia="仿宋" w:cs="仿宋"/>
          <w:i w:val="0"/>
          <w:iCs w:val="0"/>
          <w:caps w:val="0"/>
          <w:color w:val="auto"/>
          <w:spacing w:val="0"/>
          <w:sz w:val="24"/>
          <w:szCs w:val="24"/>
          <w:highlight w:val="none"/>
          <w:shd w:val="clear" w:fill="FFFFFF"/>
          <w:lang w:val="en-US" w:eastAsia="zh-CN"/>
        </w:rPr>
        <w:t>提交投标文件截止时间、开标时间。</w:t>
      </w:r>
    </w:p>
    <w:p w14:paraId="257ABE6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both"/>
        <w:textAlignment w:val="auto"/>
        <w:outlineLvl w:val="9"/>
        <w:rPr>
          <w:rFonts w:hint="eastAsia" w:ascii="仿宋" w:hAnsi="仿宋" w:eastAsia="仿宋" w:cs="仿宋"/>
          <w:sz w:val="24"/>
          <w:szCs w:val="24"/>
          <w:highlight w:val="none"/>
        </w:rPr>
      </w:pPr>
      <w:r>
        <w:rPr>
          <w:rFonts w:hint="eastAsia" w:ascii="仿宋" w:hAnsi="仿宋" w:eastAsia="仿宋" w:cs="仿宋"/>
          <w:i w:val="0"/>
          <w:iCs w:val="0"/>
          <w:caps w:val="0"/>
          <w:color w:val="222222"/>
          <w:spacing w:val="0"/>
          <w:sz w:val="24"/>
          <w:szCs w:val="24"/>
          <w:highlight w:val="none"/>
          <w:shd w:val="clear" w:fill="FFFFFF"/>
        </w:rPr>
        <w:t>更正内容：</w:t>
      </w:r>
    </w:p>
    <w:p w14:paraId="7EF9D44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both"/>
        <w:textAlignment w:val="auto"/>
        <w:outlineLvl w:val="9"/>
        <w:rPr>
          <w:rFonts w:hint="eastAsia" w:ascii="仿宋" w:hAnsi="仿宋" w:eastAsia="仿宋" w:cs="仿宋"/>
          <w:b/>
          <w:bCs/>
          <w:i w:val="0"/>
          <w:iCs w:val="0"/>
          <w:caps w:val="0"/>
          <w:color w:val="222222"/>
          <w:spacing w:val="0"/>
          <w:sz w:val="24"/>
          <w:szCs w:val="24"/>
          <w:shd w:val="clear" w:fill="FFFFFF"/>
          <w:lang w:eastAsia="zh-CN"/>
        </w:rPr>
      </w:pPr>
      <w:r>
        <w:rPr>
          <w:rFonts w:hint="eastAsia" w:ascii="仿宋" w:hAnsi="仿宋" w:eastAsia="仿宋" w:cs="仿宋"/>
          <w:b/>
          <w:bCs/>
          <w:i w:val="0"/>
          <w:iCs w:val="0"/>
          <w:caps w:val="0"/>
          <w:color w:val="222222"/>
          <w:spacing w:val="0"/>
          <w:sz w:val="24"/>
          <w:szCs w:val="24"/>
          <w:highlight w:val="none"/>
          <w:shd w:val="clear" w:fill="FFFFFF"/>
          <w:lang w:eastAsia="zh-CN"/>
        </w:rPr>
        <w:t>原公告的投标文件提交截止时间：2026-10</w:t>
      </w:r>
      <w:r>
        <w:rPr>
          <w:rFonts w:hint="eastAsia" w:ascii="仿宋" w:hAnsi="仿宋" w:eastAsia="仿宋" w:cs="仿宋"/>
          <w:b/>
          <w:bCs/>
          <w:i w:val="0"/>
          <w:iCs w:val="0"/>
          <w:caps w:val="0"/>
          <w:color w:val="222222"/>
          <w:spacing w:val="0"/>
          <w:sz w:val="24"/>
          <w:szCs w:val="24"/>
          <w:shd w:val="clear" w:fill="FFFFFF"/>
          <w:lang w:eastAsia="zh-CN"/>
        </w:rPr>
        <w:t>-13 14:30:00，更正为：2026-11-06 09:30:00。</w:t>
      </w:r>
    </w:p>
    <w:p w14:paraId="4E005E5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both"/>
        <w:textAlignment w:val="auto"/>
        <w:outlineLvl w:val="9"/>
        <w:rPr>
          <w:rFonts w:hint="eastAsia" w:ascii="仿宋" w:hAnsi="仿宋" w:eastAsia="仿宋" w:cs="仿宋"/>
          <w:b/>
          <w:bCs/>
          <w:i w:val="0"/>
          <w:iCs w:val="0"/>
          <w:caps w:val="0"/>
          <w:color w:val="222222"/>
          <w:spacing w:val="0"/>
          <w:sz w:val="24"/>
          <w:szCs w:val="24"/>
          <w:shd w:val="clear" w:fill="FFFFFF"/>
          <w:lang w:eastAsia="zh-CN"/>
        </w:rPr>
      </w:pPr>
      <w:r>
        <w:rPr>
          <w:rFonts w:hint="eastAsia" w:ascii="仿宋" w:hAnsi="仿宋" w:eastAsia="仿宋" w:cs="仿宋"/>
          <w:b/>
          <w:bCs/>
          <w:i w:val="0"/>
          <w:iCs w:val="0"/>
          <w:caps w:val="0"/>
          <w:color w:val="222222"/>
          <w:spacing w:val="0"/>
          <w:sz w:val="24"/>
          <w:szCs w:val="24"/>
          <w:shd w:val="clear" w:fill="FFFFFF"/>
          <w:lang w:eastAsia="zh-CN"/>
        </w:rPr>
        <w:t>原公告的开标时间：2026-10-13 14:30:00，更正为：2026-11-06 09:30:00。</w:t>
      </w:r>
    </w:p>
    <w:p w14:paraId="2A37593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both"/>
        <w:textAlignment w:val="auto"/>
        <w:outlineLvl w:val="9"/>
        <w:rPr>
          <w:rFonts w:hint="eastAsia" w:ascii="仿宋" w:hAnsi="仿宋" w:eastAsia="仿宋" w:cs="仿宋"/>
          <w:b/>
          <w:bCs/>
          <w:i w:val="0"/>
          <w:iCs w:val="0"/>
          <w:caps w:val="0"/>
          <w:color w:val="222222"/>
          <w:spacing w:val="0"/>
          <w:sz w:val="24"/>
          <w:szCs w:val="24"/>
          <w:shd w:val="clear" w:fill="FFFFFF"/>
        </w:rPr>
      </w:pPr>
      <w:r>
        <w:rPr>
          <w:rFonts w:hint="eastAsia" w:ascii="仿宋" w:hAnsi="仿宋" w:eastAsia="仿宋" w:cs="仿宋"/>
          <w:b/>
          <w:bCs/>
          <w:i w:val="0"/>
          <w:iCs w:val="0"/>
          <w:caps w:val="0"/>
          <w:color w:val="222222"/>
          <w:spacing w:val="0"/>
          <w:sz w:val="24"/>
          <w:szCs w:val="24"/>
          <w:shd w:val="clear" w:fill="FFFFFF"/>
          <w:lang w:eastAsia="zh-CN"/>
        </w:rPr>
        <w:t>（</w:t>
      </w:r>
      <w:r>
        <w:rPr>
          <w:rFonts w:hint="eastAsia" w:ascii="仿宋" w:hAnsi="仿宋" w:eastAsia="仿宋" w:cs="仿宋"/>
          <w:b/>
          <w:bCs/>
          <w:i w:val="0"/>
          <w:iCs w:val="0"/>
          <w:caps w:val="0"/>
          <w:color w:val="222222"/>
          <w:spacing w:val="0"/>
          <w:sz w:val="24"/>
          <w:szCs w:val="24"/>
          <w:shd w:val="clear" w:fill="FFFFFF"/>
          <w:lang w:val="en-US" w:eastAsia="zh-CN"/>
        </w:rPr>
        <w:t>一）</w:t>
      </w:r>
      <w:r>
        <w:rPr>
          <w:rFonts w:hint="eastAsia" w:ascii="仿宋" w:hAnsi="仿宋" w:eastAsia="仿宋" w:cs="仿宋"/>
          <w:b/>
          <w:bCs/>
          <w:i w:val="0"/>
          <w:iCs w:val="0"/>
          <w:caps w:val="0"/>
          <w:color w:val="222222"/>
          <w:spacing w:val="0"/>
          <w:sz w:val="24"/>
          <w:szCs w:val="24"/>
          <w:shd w:val="clear" w:fill="FFFFFF"/>
        </w:rPr>
        <w:t>原招标文件第</w:t>
      </w:r>
      <w:r>
        <w:rPr>
          <w:rFonts w:hint="eastAsia" w:ascii="仿宋" w:hAnsi="仿宋" w:eastAsia="仿宋" w:cs="仿宋"/>
          <w:b/>
          <w:bCs/>
          <w:i w:val="0"/>
          <w:iCs w:val="0"/>
          <w:caps w:val="0"/>
          <w:color w:val="222222"/>
          <w:spacing w:val="0"/>
          <w:sz w:val="24"/>
          <w:szCs w:val="24"/>
          <w:shd w:val="clear" w:fill="FFFFFF"/>
          <w:lang w:val="en-US" w:eastAsia="zh-CN"/>
        </w:rPr>
        <w:t>五</w:t>
      </w:r>
      <w:r>
        <w:rPr>
          <w:rFonts w:hint="eastAsia" w:ascii="仿宋" w:hAnsi="仿宋" w:eastAsia="仿宋" w:cs="仿宋"/>
          <w:b/>
          <w:bCs/>
          <w:i w:val="0"/>
          <w:iCs w:val="0"/>
          <w:caps w:val="0"/>
          <w:color w:val="222222"/>
          <w:spacing w:val="0"/>
          <w:sz w:val="24"/>
          <w:szCs w:val="24"/>
          <w:shd w:val="clear" w:fill="FFFFFF"/>
        </w:rPr>
        <w:t>章《招标内容及要求》“三、商务要求”“10.3质量保证范围、质量保证期及售后服务”</w:t>
      </w:r>
      <w:r>
        <w:rPr>
          <w:rFonts w:hint="eastAsia" w:ascii="仿宋" w:hAnsi="仿宋" w:eastAsia="仿宋" w:cs="仿宋"/>
          <w:b/>
          <w:bCs/>
          <w:i w:val="0"/>
          <w:iCs w:val="0"/>
          <w:caps w:val="0"/>
          <w:color w:val="222222"/>
          <w:spacing w:val="0"/>
          <w:sz w:val="24"/>
          <w:szCs w:val="24"/>
          <w:shd w:val="clear" w:fill="FFFFFF"/>
          <w:lang w:eastAsia="zh-CN"/>
        </w:rPr>
        <w:t>“</w:t>
      </w:r>
      <w:r>
        <w:rPr>
          <w:rFonts w:hint="eastAsia" w:ascii="仿宋" w:hAnsi="仿宋" w:eastAsia="仿宋" w:cs="仿宋"/>
          <w:b/>
          <w:bCs/>
          <w:i w:val="0"/>
          <w:iCs w:val="0"/>
          <w:caps w:val="0"/>
          <w:color w:val="222222"/>
          <w:spacing w:val="0"/>
          <w:sz w:val="24"/>
          <w:szCs w:val="24"/>
          <w:shd w:val="clear" w:fill="FFFFFF"/>
        </w:rPr>
        <w:t>（3）售后服务应按法律法规和采购文件约定执行</w:t>
      </w:r>
      <w:r>
        <w:rPr>
          <w:rFonts w:hint="eastAsia" w:ascii="仿宋" w:hAnsi="仿宋" w:eastAsia="仿宋" w:cs="仿宋"/>
          <w:b/>
          <w:bCs/>
          <w:i w:val="0"/>
          <w:iCs w:val="0"/>
          <w:caps w:val="0"/>
          <w:color w:val="222222"/>
          <w:spacing w:val="0"/>
          <w:sz w:val="24"/>
          <w:szCs w:val="24"/>
          <w:shd w:val="clear" w:fill="FFFFFF"/>
          <w:lang w:eastAsia="zh-CN"/>
        </w:rPr>
        <w:t>”</w:t>
      </w:r>
      <w:r>
        <w:rPr>
          <w:rFonts w:hint="eastAsia" w:ascii="仿宋" w:hAnsi="仿宋" w:eastAsia="仿宋" w:cs="仿宋"/>
          <w:b/>
          <w:bCs/>
          <w:i w:val="0"/>
          <w:iCs w:val="0"/>
          <w:caps w:val="0"/>
          <w:color w:val="222222"/>
          <w:spacing w:val="0"/>
          <w:sz w:val="24"/>
          <w:szCs w:val="24"/>
          <w:shd w:val="clear" w:fill="FFFFFF"/>
        </w:rPr>
        <w:t>中：</w:t>
      </w:r>
    </w:p>
    <w:p w14:paraId="6821760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both"/>
        <w:textAlignment w:val="auto"/>
        <w:outlineLvl w:val="9"/>
        <w:rPr>
          <w:rFonts w:hint="eastAsia" w:ascii="仿宋" w:hAnsi="仿宋" w:eastAsia="仿宋" w:cs="仿宋"/>
          <w:i w:val="0"/>
          <w:iCs w:val="0"/>
          <w:caps w:val="0"/>
          <w:color w:val="222222"/>
          <w:spacing w:val="0"/>
          <w:sz w:val="24"/>
          <w:szCs w:val="24"/>
          <w:shd w:val="clear" w:fill="FFFFFF"/>
          <w:lang w:eastAsia="zh-CN"/>
        </w:rPr>
      </w:pPr>
      <w:r>
        <w:rPr>
          <w:rFonts w:hint="eastAsia" w:ascii="仿宋" w:hAnsi="仿宋" w:eastAsia="仿宋" w:cs="仿宋"/>
          <w:i w:val="0"/>
          <w:iCs w:val="0"/>
          <w:caps w:val="0"/>
          <w:color w:val="222222"/>
          <w:spacing w:val="0"/>
          <w:sz w:val="24"/>
          <w:szCs w:val="24"/>
          <w:shd w:val="clear" w:fill="FFFFFF"/>
          <w:lang w:eastAsia="zh-CN"/>
        </w:rPr>
        <w:t>“</w:t>
      </w:r>
      <w:r>
        <w:rPr>
          <w:rFonts w:hint="eastAsia" w:ascii="仿宋" w:hAnsi="仿宋" w:eastAsia="仿宋" w:cs="仿宋"/>
          <w:i w:val="0"/>
          <w:iCs w:val="0"/>
          <w:caps w:val="0"/>
          <w:color w:val="222222"/>
          <w:spacing w:val="0"/>
          <w:sz w:val="24"/>
          <w:szCs w:val="24"/>
          <w:shd w:val="clear" w:fill="FFFFFF"/>
        </w:rPr>
        <w:t>1）所有项目均包含 5 年免费质保（主要设备及核心软件为原厂质保），货物质保期要求均为货物经最终验收合格后 3年（除技术参数中另行规定的除外），涉及版本更新、维保期内业务的随时定制和修订、BUG消除、产品安全应急响应、业务流程的重新适配等相关服务，终身维修维护、软件终身免费维护及升级。在质量保证期内设备运行发生故障时，中标人在接到采购人故障通知后2小时内应委派专业技术人员到现场免费提供咨询、维修和更换零部件等服务，并及时填写维修报告（包括故障原因、处理情况及采购人意见等）报采购人备案，若24 小时内无法排除故障，则应先提供同档次备用产品供采购人使用，其中发生一切费用由中标人承担。质量保证期内中标人有责任对设备进行不定期的巡查检修，且中标人需每年为采购人机修人员免费进行至少一次的维修技术培训，免费保修期结束前一个月内中标人应负责对货物进行一次免费全面检查，如发现潜在问题，应负责排除，保证货物的正常运行。质保期外重复出现质保期内出现的故障属免费保修范围。</w:t>
      </w:r>
      <w:r>
        <w:rPr>
          <w:rFonts w:hint="eastAsia" w:ascii="仿宋" w:hAnsi="仿宋" w:eastAsia="仿宋" w:cs="仿宋"/>
          <w:i w:val="0"/>
          <w:iCs w:val="0"/>
          <w:caps w:val="0"/>
          <w:color w:val="222222"/>
          <w:spacing w:val="0"/>
          <w:sz w:val="24"/>
          <w:szCs w:val="24"/>
          <w:shd w:val="clear" w:fill="FFFFFF"/>
          <w:lang w:eastAsia="zh-CN"/>
        </w:rPr>
        <w:t>”</w:t>
      </w:r>
    </w:p>
    <w:p w14:paraId="5173353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both"/>
        <w:textAlignment w:val="auto"/>
        <w:outlineLvl w:val="9"/>
        <w:rPr>
          <w:rFonts w:hint="eastAsia" w:ascii="仿宋" w:hAnsi="仿宋" w:eastAsia="仿宋" w:cs="仿宋"/>
          <w:b/>
          <w:bCs/>
          <w:i w:val="0"/>
          <w:iCs w:val="0"/>
          <w:caps w:val="0"/>
          <w:color w:val="222222"/>
          <w:spacing w:val="0"/>
          <w:sz w:val="24"/>
          <w:szCs w:val="24"/>
          <w:shd w:val="clear" w:fill="FFFFFF"/>
          <w:lang w:val="en-US" w:eastAsia="zh-CN"/>
        </w:rPr>
      </w:pPr>
      <w:r>
        <w:rPr>
          <w:rFonts w:hint="eastAsia" w:ascii="仿宋" w:hAnsi="仿宋" w:eastAsia="仿宋" w:cs="仿宋"/>
          <w:b/>
          <w:bCs/>
          <w:i w:val="0"/>
          <w:iCs w:val="0"/>
          <w:caps w:val="0"/>
          <w:color w:val="222222"/>
          <w:spacing w:val="0"/>
          <w:sz w:val="24"/>
          <w:szCs w:val="24"/>
          <w:shd w:val="clear" w:fill="FFFFFF"/>
          <w:lang w:val="en-US" w:eastAsia="zh-CN"/>
        </w:rPr>
        <w:t>现更正为：</w:t>
      </w:r>
    </w:p>
    <w:p w14:paraId="24D5E56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both"/>
        <w:textAlignment w:val="auto"/>
        <w:outlineLvl w:val="9"/>
        <w:rPr>
          <w:rFonts w:hint="default" w:ascii="仿宋" w:hAnsi="仿宋" w:eastAsia="仿宋" w:cs="仿宋"/>
          <w:i w:val="0"/>
          <w:iCs w:val="0"/>
          <w:caps w:val="0"/>
          <w:color w:val="222222"/>
          <w:spacing w:val="0"/>
          <w:sz w:val="24"/>
          <w:szCs w:val="24"/>
          <w:shd w:val="clear" w:fill="FFFFFF"/>
          <w:lang w:val="en-US" w:eastAsia="zh-CN"/>
        </w:rPr>
      </w:pPr>
      <w:r>
        <w:rPr>
          <w:rFonts w:hint="eastAsia" w:ascii="仿宋" w:hAnsi="仿宋" w:eastAsia="仿宋" w:cs="仿宋"/>
          <w:i w:val="0"/>
          <w:iCs w:val="0"/>
          <w:caps w:val="0"/>
          <w:color w:val="222222"/>
          <w:spacing w:val="0"/>
          <w:sz w:val="24"/>
          <w:szCs w:val="24"/>
          <w:shd w:val="clear" w:fill="FFFFFF"/>
          <w:lang w:eastAsia="zh-CN"/>
        </w:rPr>
        <w:t>“</w:t>
      </w:r>
      <w:r>
        <w:rPr>
          <w:rFonts w:hint="eastAsia" w:ascii="仿宋" w:hAnsi="仿宋" w:eastAsia="仿宋" w:cs="仿宋"/>
          <w:i w:val="0"/>
          <w:iCs w:val="0"/>
          <w:caps w:val="0"/>
          <w:color w:val="222222"/>
          <w:spacing w:val="0"/>
          <w:sz w:val="24"/>
          <w:szCs w:val="24"/>
          <w:shd w:val="clear" w:fill="FFFFFF"/>
        </w:rPr>
        <w:t>1）所有项目均包含5年免费质保（主要设备及核心软件为原厂质保），货物质保期要求均为货物经最终验收合格</w:t>
      </w:r>
      <w:r>
        <w:rPr>
          <w:rFonts w:hint="eastAsia" w:ascii="仿宋" w:hAnsi="仿宋" w:eastAsia="仿宋" w:cs="仿宋"/>
          <w:i w:val="0"/>
          <w:iCs w:val="0"/>
          <w:caps w:val="0"/>
          <w:color w:val="222222"/>
          <w:spacing w:val="0"/>
          <w:sz w:val="24"/>
          <w:szCs w:val="24"/>
          <w:highlight w:val="none"/>
          <w:shd w:val="clear" w:fill="FFFFFF"/>
        </w:rPr>
        <w:t>后</w:t>
      </w:r>
      <w:r>
        <w:rPr>
          <w:rFonts w:hint="eastAsia" w:ascii="仿宋" w:hAnsi="仿宋" w:eastAsia="仿宋" w:cs="仿宋"/>
          <w:i w:val="0"/>
          <w:iCs w:val="0"/>
          <w:caps w:val="0"/>
          <w:color w:val="222222"/>
          <w:spacing w:val="0"/>
          <w:sz w:val="24"/>
          <w:szCs w:val="24"/>
          <w:highlight w:val="none"/>
          <w:shd w:val="clear" w:fill="FFFFFF"/>
          <w:lang w:val="en-US" w:eastAsia="zh-CN"/>
        </w:rPr>
        <w:t>5</w:t>
      </w:r>
      <w:r>
        <w:rPr>
          <w:rFonts w:hint="eastAsia" w:ascii="仿宋" w:hAnsi="仿宋" w:eastAsia="仿宋" w:cs="仿宋"/>
          <w:i w:val="0"/>
          <w:iCs w:val="0"/>
          <w:caps w:val="0"/>
          <w:color w:val="222222"/>
          <w:spacing w:val="0"/>
          <w:sz w:val="24"/>
          <w:szCs w:val="24"/>
          <w:highlight w:val="none"/>
          <w:shd w:val="clear" w:fill="FFFFFF"/>
        </w:rPr>
        <w:t>年（除技术参数中另行规定的除外），涉及版本更新、维保期内业务的随时定制和修订、BUG消除、产品安全应急响应、业务流程的重新适配等相关服务，终身维修维护、软件终身免费维护及升级</w:t>
      </w:r>
      <w:r>
        <w:rPr>
          <w:rFonts w:hint="eastAsia" w:ascii="仿宋" w:hAnsi="仿宋" w:eastAsia="仿宋" w:cs="仿宋"/>
          <w:i w:val="0"/>
          <w:iCs w:val="0"/>
          <w:caps w:val="0"/>
          <w:color w:val="222222"/>
          <w:spacing w:val="0"/>
          <w:sz w:val="24"/>
          <w:szCs w:val="24"/>
          <w:shd w:val="clear" w:fill="FFFFFF"/>
        </w:rPr>
        <w:t>。在质量保证期内设备运行发生故障时，中标人在接到采购人故障通知后2小时内应委派专业技术人员到现场免费提供咨询、维修和更换零部件等服务，并及时填写维修报告（包括故障原因、处理情况及采购人意见等）报采购人备案，若24 小时内无法排除故障，则应先提供同档次备用产品供采购人使用，其中发生一切费用由中标人承担。质量保证期内中标人有责任对设备进行不定期的巡查检修，且中标人需每年为采购人机修人员免费进行至少一次的维修技术培训，免费保修期结束前一个月内中标人应负责对货物进行一次免费全面检查，如发现潜在问题，应负责排除，保证货物的正常运行。质保期外重复出现质保期内出现的故障属免费保修范围。</w:t>
      </w:r>
      <w:r>
        <w:rPr>
          <w:rFonts w:hint="eastAsia" w:ascii="仿宋" w:hAnsi="仿宋" w:eastAsia="仿宋" w:cs="仿宋"/>
          <w:i w:val="0"/>
          <w:iCs w:val="0"/>
          <w:caps w:val="0"/>
          <w:color w:val="222222"/>
          <w:spacing w:val="0"/>
          <w:sz w:val="24"/>
          <w:szCs w:val="24"/>
          <w:shd w:val="clear" w:fill="FFFFFF"/>
          <w:lang w:eastAsia="zh-CN"/>
        </w:rPr>
        <w:t>”</w:t>
      </w:r>
    </w:p>
    <w:p w14:paraId="68A0464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both"/>
        <w:textAlignment w:val="auto"/>
        <w:outlineLvl w:val="9"/>
        <w:rPr>
          <w:rFonts w:hint="default" w:ascii="仿宋" w:hAnsi="仿宋" w:eastAsia="仿宋" w:cs="仿宋"/>
          <w:b/>
          <w:bCs/>
          <w:i w:val="0"/>
          <w:iCs w:val="0"/>
          <w:caps w:val="0"/>
          <w:color w:val="222222"/>
          <w:spacing w:val="0"/>
          <w:sz w:val="24"/>
          <w:szCs w:val="24"/>
          <w:shd w:val="clear" w:fill="FFFFFF"/>
          <w:lang w:val="en-US" w:eastAsia="zh-CN"/>
        </w:rPr>
      </w:pPr>
      <w:r>
        <w:rPr>
          <w:rFonts w:hint="eastAsia" w:ascii="仿宋" w:hAnsi="仿宋" w:eastAsia="仿宋" w:cs="仿宋"/>
          <w:b/>
          <w:bCs/>
          <w:i w:val="0"/>
          <w:iCs w:val="0"/>
          <w:caps w:val="0"/>
          <w:color w:val="222222"/>
          <w:spacing w:val="0"/>
          <w:sz w:val="24"/>
          <w:szCs w:val="24"/>
          <w:shd w:val="clear" w:fill="FFFFFF"/>
          <w:lang w:eastAsia="zh-CN"/>
        </w:rPr>
        <w:t>（</w:t>
      </w:r>
      <w:r>
        <w:rPr>
          <w:rFonts w:hint="eastAsia" w:ascii="仿宋" w:hAnsi="仿宋" w:eastAsia="仿宋" w:cs="仿宋"/>
          <w:b/>
          <w:bCs/>
          <w:i w:val="0"/>
          <w:iCs w:val="0"/>
          <w:caps w:val="0"/>
          <w:color w:val="222222"/>
          <w:spacing w:val="0"/>
          <w:sz w:val="24"/>
          <w:szCs w:val="24"/>
          <w:shd w:val="clear" w:fill="FFFFFF"/>
          <w:lang w:val="en-US" w:eastAsia="zh-CN"/>
        </w:rPr>
        <w:t>二）公示采购人现有6台服务器的配置参数，具体如下：</w:t>
      </w:r>
    </w:p>
    <w:tbl>
      <w:tblPr>
        <w:tblStyle w:val="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4"/>
        <w:gridCol w:w="1074"/>
        <w:gridCol w:w="544"/>
        <w:gridCol w:w="7800"/>
      </w:tblGrid>
      <w:tr w14:paraId="2CF9A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273" w:type="pct"/>
            <w:vAlign w:val="center"/>
          </w:tcPr>
          <w:p w14:paraId="376DD402">
            <w:pPr>
              <w:keepNext w:val="0"/>
              <w:keepLines w:val="0"/>
              <w:pageBreakBefore w:val="0"/>
              <w:kinsoku/>
              <w:wordWrap/>
              <w:overflowPunct/>
              <w:topLinePunct w:val="0"/>
              <w:autoSpaceDE/>
              <w:autoSpaceDN/>
              <w:bidi w:val="0"/>
              <w:adjustRightInd/>
              <w:snapToGrid/>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序号</w:t>
            </w:r>
          </w:p>
        </w:tc>
        <w:tc>
          <w:tcPr>
            <w:tcW w:w="539" w:type="pct"/>
            <w:vAlign w:val="center"/>
          </w:tcPr>
          <w:p w14:paraId="0B6B2CAB">
            <w:pPr>
              <w:keepNext w:val="0"/>
              <w:keepLines w:val="0"/>
              <w:pageBreakBefore w:val="0"/>
              <w:kinsoku/>
              <w:wordWrap/>
              <w:overflowPunct/>
              <w:topLinePunct w:val="0"/>
              <w:autoSpaceDE/>
              <w:autoSpaceDN/>
              <w:bidi w:val="0"/>
              <w:adjustRightInd/>
              <w:snapToGrid/>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品目名称</w:t>
            </w:r>
          </w:p>
        </w:tc>
        <w:tc>
          <w:tcPr>
            <w:tcW w:w="273" w:type="pct"/>
            <w:vAlign w:val="center"/>
          </w:tcPr>
          <w:p w14:paraId="15BB12F6">
            <w:pPr>
              <w:keepNext w:val="0"/>
              <w:keepLines w:val="0"/>
              <w:pageBreakBefore w:val="0"/>
              <w:kinsoku/>
              <w:wordWrap/>
              <w:overflowPunct/>
              <w:topLinePunct w:val="0"/>
              <w:autoSpaceDE/>
              <w:autoSpaceDN/>
              <w:bidi w:val="0"/>
              <w:adjustRightInd/>
              <w:snapToGrid/>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数量</w:t>
            </w:r>
          </w:p>
        </w:tc>
        <w:tc>
          <w:tcPr>
            <w:tcW w:w="3914" w:type="pct"/>
            <w:vAlign w:val="center"/>
          </w:tcPr>
          <w:p w14:paraId="407470E8">
            <w:pPr>
              <w:keepNext w:val="0"/>
              <w:keepLines w:val="0"/>
              <w:pageBreakBefore w:val="0"/>
              <w:kinsoku/>
              <w:wordWrap/>
              <w:overflowPunct/>
              <w:topLinePunct w:val="0"/>
              <w:autoSpaceDE/>
              <w:autoSpaceDN/>
              <w:bidi w:val="0"/>
              <w:adjustRightInd/>
              <w:snapToGrid/>
              <w:jc w:val="center"/>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val="en-US" w:eastAsia="zh-CN"/>
              </w:rPr>
              <w:t>配置</w:t>
            </w:r>
          </w:p>
        </w:tc>
      </w:tr>
      <w:tr w14:paraId="5B190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273" w:type="pct"/>
            <w:vAlign w:val="center"/>
          </w:tcPr>
          <w:p w14:paraId="7FFFCD3C">
            <w:pPr>
              <w:keepNext w:val="0"/>
              <w:keepLines w:val="0"/>
              <w:pageBreakBefore w:val="0"/>
              <w:kinsoku/>
              <w:wordWrap/>
              <w:overflowPunct/>
              <w:topLinePunct w:val="0"/>
              <w:autoSpaceDE/>
              <w:autoSpaceDN/>
              <w:bidi w:val="0"/>
              <w:adjustRightInd/>
              <w:snapToGrid/>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1</w:t>
            </w:r>
          </w:p>
        </w:tc>
        <w:tc>
          <w:tcPr>
            <w:tcW w:w="539" w:type="pct"/>
            <w:vAlign w:val="center"/>
          </w:tcPr>
          <w:p w14:paraId="137176ED">
            <w:pPr>
              <w:keepNext w:val="0"/>
              <w:keepLines w:val="0"/>
              <w:pageBreakBefore w:val="0"/>
              <w:kinsoku/>
              <w:wordWrap/>
              <w:overflowPunct/>
              <w:topLinePunct w:val="0"/>
              <w:autoSpaceDE/>
              <w:autoSpaceDN/>
              <w:bidi w:val="0"/>
              <w:adjustRightInd/>
              <w:snapToGrid/>
              <w:jc w:val="center"/>
              <w:textAlignment w:val="auto"/>
              <w:outlineLvl w:val="9"/>
              <w:rPr>
                <w:rFonts w:hint="eastAsia" w:ascii="仿宋" w:hAnsi="仿宋" w:eastAsia="仿宋" w:cs="仿宋"/>
                <w:sz w:val="24"/>
                <w:szCs w:val="24"/>
              </w:rPr>
            </w:pPr>
            <w:r>
              <w:rPr>
                <w:rFonts w:hint="eastAsia" w:ascii="仿宋" w:hAnsi="仿宋" w:eastAsia="仿宋" w:cs="仿宋"/>
                <w:bCs/>
                <w:kern w:val="0"/>
                <w:sz w:val="24"/>
                <w:szCs w:val="24"/>
              </w:rPr>
              <w:t>文件服务器</w:t>
            </w:r>
          </w:p>
        </w:tc>
        <w:tc>
          <w:tcPr>
            <w:tcW w:w="273" w:type="pct"/>
            <w:vAlign w:val="center"/>
          </w:tcPr>
          <w:p w14:paraId="02EC2CF4">
            <w:pPr>
              <w:keepNext w:val="0"/>
              <w:keepLines w:val="0"/>
              <w:pageBreakBefore w:val="0"/>
              <w:kinsoku/>
              <w:wordWrap/>
              <w:overflowPunct/>
              <w:topLinePunct w:val="0"/>
              <w:autoSpaceDE/>
              <w:autoSpaceDN/>
              <w:bidi w:val="0"/>
              <w:adjustRightInd/>
              <w:snapToGrid/>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1台</w:t>
            </w:r>
          </w:p>
        </w:tc>
        <w:tc>
          <w:tcPr>
            <w:tcW w:w="3914" w:type="pct"/>
            <w:vAlign w:val="center"/>
          </w:tcPr>
          <w:p w14:paraId="5231E7A1">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华为/Huawei 2288H V5 机架式服务器/2.1GHz/INTEL 至强金牌/20 核/DDR4/480GB/12TB/12TB/机架式服务器/无/64GB/服务器产品类别:机架式服务器 </w:t>
            </w:r>
          </w:p>
          <w:p w14:paraId="5F8FF24A">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电源类型:冗余电源 </w:t>
            </w:r>
          </w:p>
          <w:p w14:paraId="304EE2D1">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RAID方式:RAID 60,无,RAID 0,RAID 1,RAID 5,RAID 6,RAID 50,RAID 10 </w:t>
            </w:r>
          </w:p>
          <w:p w14:paraId="5D602EE9">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操作系统:无 </w:t>
            </w:r>
          </w:p>
          <w:p w14:paraId="4DF48952">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扩展槽:10 </w:t>
            </w:r>
          </w:p>
          <w:p w14:paraId="3944DF1D">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内存插槽:24个 </w:t>
            </w:r>
          </w:p>
          <w:p w14:paraId="22302A96">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插槽配置说明:最大支持10个PCIE插槽 </w:t>
            </w:r>
          </w:p>
          <w:p w14:paraId="2CDE882C">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硬盘容量说明:2*480GB SSD，6*12TB SATA </w:t>
            </w:r>
          </w:p>
          <w:p w14:paraId="701AC4FE">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产品尺寸:86.1mm×447mm×748mm </w:t>
            </w:r>
          </w:p>
          <w:p w14:paraId="4E042947">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产品结构:2U </w:t>
            </w:r>
          </w:p>
          <w:p w14:paraId="10B05CF1">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CPU类型:INTEL 至强金牌 </w:t>
            </w:r>
          </w:p>
          <w:p w14:paraId="58EA3C5A">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CPU型号:Intel 至强 Gold 5218R </w:t>
            </w:r>
          </w:p>
          <w:p w14:paraId="2D1A2861">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网口:4 </w:t>
            </w:r>
          </w:p>
          <w:p w14:paraId="5F8BE95A">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CPU数量:2颗 </w:t>
            </w:r>
          </w:p>
          <w:p w14:paraId="158412EA">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内存条数:2 </w:t>
            </w:r>
          </w:p>
          <w:p w14:paraId="06D66018">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内存容量(单条):32GB </w:t>
            </w:r>
          </w:p>
          <w:p w14:paraId="69313E53">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CPU速度/主频:2.1GHz </w:t>
            </w:r>
          </w:p>
          <w:p w14:paraId="2130EC8B">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CPU核数:20核 </w:t>
            </w:r>
          </w:p>
          <w:p w14:paraId="6CEF43AB">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固态硬盘数量:2 </w:t>
            </w:r>
          </w:p>
          <w:p w14:paraId="3203F9A6">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内存类型:DDR4 </w:t>
            </w:r>
          </w:p>
          <w:p w14:paraId="5D8D18F7">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固态硬盘容量(单个):480GB </w:t>
            </w:r>
          </w:p>
          <w:p w14:paraId="09039666">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机械硬盘容量(单个):12TB </w:t>
            </w:r>
          </w:p>
          <w:p w14:paraId="69AD7249">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内存容量:64GB </w:t>
            </w:r>
          </w:p>
          <w:p w14:paraId="3E06534E">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机械硬盘数量:6 </w:t>
            </w:r>
          </w:p>
          <w:p w14:paraId="13B6A9AF">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固态硬盘容量:480GB*2 </w:t>
            </w:r>
          </w:p>
          <w:p w14:paraId="619869F3">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硬盘类型:混合硬盘 </w:t>
            </w:r>
          </w:p>
          <w:p w14:paraId="2F258524">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机械硬盘容量:12TB*6 </w:t>
            </w:r>
          </w:p>
          <w:p w14:paraId="4D718534">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硬盘容量:72T+600G </w:t>
            </w:r>
          </w:p>
          <w:p w14:paraId="170FEE8A">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端口传输速率:10GB </w:t>
            </w:r>
          </w:p>
          <w:p w14:paraId="593EE505">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HBA卡端口数量:0 </w:t>
            </w:r>
          </w:p>
          <w:p w14:paraId="5CE4D631">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网卡端口数量:4 </w:t>
            </w:r>
          </w:p>
          <w:p w14:paraId="51FA0CC9">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HBA传输速率:0 </w:t>
            </w:r>
          </w:p>
          <w:p w14:paraId="00C965F2">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电源热插拔:支持 </w:t>
            </w:r>
          </w:p>
          <w:p w14:paraId="4958B01B">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串口数量:1 </w:t>
            </w:r>
          </w:p>
          <w:p w14:paraId="6A68E8AE">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1GB网络端口数量:2 </w:t>
            </w:r>
          </w:p>
          <w:p w14:paraId="55B33D97">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质保期限:5年 </w:t>
            </w:r>
          </w:p>
          <w:p w14:paraId="584EB6A6">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10GB网络端口数量:2 </w:t>
            </w:r>
          </w:p>
          <w:p w14:paraId="5EC1F49D">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USB2.0接口数量:2 </w:t>
            </w:r>
          </w:p>
          <w:p w14:paraId="51D223F8">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VGA接口数量:1 </w:t>
            </w:r>
          </w:p>
          <w:p w14:paraId="05BAC161">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支持最大处理器数目:2 </w:t>
            </w:r>
          </w:p>
          <w:p w14:paraId="6899695F">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PCI-E 2.0 x4 插槽数量:0 </w:t>
            </w:r>
          </w:p>
          <w:p w14:paraId="606C581F">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PCI-E 2.0 x8 插槽数量:0 </w:t>
            </w:r>
          </w:p>
          <w:p w14:paraId="377D8BB5">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PCI-E 2.0 x16 插槽数量:0 </w:t>
            </w:r>
          </w:p>
          <w:p w14:paraId="66656E8D">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PCI-E 3.0 x4 插槽数量:0 </w:t>
            </w:r>
          </w:p>
          <w:p w14:paraId="5C4F0238">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PCI-E 3.0 x8 插槽数量:0 </w:t>
            </w:r>
          </w:p>
          <w:p w14:paraId="5E1506DE">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PCI-E 3.0 x16 插槽数量:0 </w:t>
            </w:r>
          </w:p>
          <w:p w14:paraId="67B55B65">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电源冗余:支持 </w:t>
            </w:r>
          </w:p>
          <w:p w14:paraId="33802F59">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硬盘数量:8 </w:t>
            </w:r>
          </w:p>
          <w:p w14:paraId="57A53442">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中国国家强制性产品认证证书编号:2017010911969365 </w:t>
            </w:r>
          </w:p>
          <w:p w14:paraId="77D2BA64">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包装清单:电源线、导轨 </w:t>
            </w:r>
          </w:p>
          <w:p w14:paraId="6A45762D">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售后服务:原厂5年保修服务 </w:t>
            </w:r>
          </w:p>
          <w:p w14:paraId="4A9D122E">
            <w:pPr>
              <w:keepNext w:val="0"/>
              <w:keepLines w:val="0"/>
              <w:pageBreakBefore w:val="0"/>
              <w:kinsoku/>
              <w:wordWrap/>
              <w:overflowPunct/>
              <w:topLinePunct w:val="0"/>
              <w:autoSpaceDE/>
              <w:autoSpaceDN/>
              <w:bidi w:val="0"/>
              <w:adjustRightInd/>
              <w:snapToGrid/>
              <w:textAlignment w:val="auto"/>
              <w:outlineLvl w:val="9"/>
              <w:rPr>
                <w:rFonts w:hint="eastAsia" w:ascii="仿宋" w:hAnsi="仿宋" w:eastAsia="仿宋" w:cs="仿宋"/>
                <w:sz w:val="24"/>
                <w:szCs w:val="24"/>
              </w:rPr>
            </w:pPr>
            <w:r>
              <w:rPr>
                <w:rFonts w:hint="eastAsia" w:ascii="仿宋" w:hAnsi="仿宋" w:eastAsia="仿宋" w:cs="仿宋"/>
                <w:color w:val="000000"/>
                <w:kern w:val="0"/>
                <w:sz w:val="24"/>
                <w:szCs w:val="24"/>
              </w:rPr>
              <w:t>中国国家强制性产品认证证书有效期:2027-05-15</w:t>
            </w:r>
          </w:p>
        </w:tc>
      </w:tr>
      <w:tr w14:paraId="27815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273" w:type="pct"/>
            <w:vAlign w:val="center"/>
          </w:tcPr>
          <w:p w14:paraId="69C06956">
            <w:pPr>
              <w:keepNext w:val="0"/>
              <w:keepLines w:val="0"/>
              <w:pageBreakBefore w:val="0"/>
              <w:kinsoku/>
              <w:wordWrap/>
              <w:overflowPunct/>
              <w:topLinePunct w:val="0"/>
              <w:autoSpaceDE/>
              <w:autoSpaceDN/>
              <w:bidi w:val="0"/>
              <w:adjustRightInd/>
              <w:snapToGrid/>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2</w:t>
            </w:r>
          </w:p>
        </w:tc>
        <w:tc>
          <w:tcPr>
            <w:tcW w:w="539" w:type="pct"/>
            <w:vAlign w:val="center"/>
          </w:tcPr>
          <w:p w14:paraId="1595F20B">
            <w:pPr>
              <w:keepNext w:val="0"/>
              <w:keepLines w:val="0"/>
              <w:pageBreakBefore w:val="0"/>
              <w:kinsoku/>
              <w:wordWrap/>
              <w:overflowPunct/>
              <w:topLinePunct w:val="0"/>
              <w:autoSpaceDE/>
              <w:autoSpaceDN/>
              <w:bidi w:val="0"/>
              <w:adjustRightInd/>
              <w:snapToGrid/>
              <w:jc w:val="center"/>
              <w:textAlignment w:val="auto"/>
              <w:outlineLvl w:val="9"/>
              <w:rPr>
                <w:rFonts w:hint="eastAsia" w:ascii="仿宋" w:hAnsi="仿宋" w:eastAsia="仿宋" w:cs="仿宋"/>
                <w:sz w:val="24"/>
                <w:szCs w:val="24"/>
              </w:rPr>
            </w:pPr>
            <w:r>
              <w:rPr>
                <w:rFonts w:hint="eastAsia" w:ascii="仿宋" w:hAnsi="仿宋" w:eastAsia="仿宋" w:cs="仿宋"/>
                <w:bCs/>
                <w:sz w:val="24"/>
                <w:szCs w:val="24"/>
              </w:rPr>
              <w:t>数据库缓存服务器</w:t>
            </w:r>
          </w:p>
        </w:tc>
        <w:tc>
          <w:tcPr>
            <w:tcW w:w="273" w:type="pct"/>
            <w:vAlign w:val="center"/>
          </w:tcPr>
          <w:p w14:paraId="347355C1">
            <w:pPr>
              <w:keepNext w:val="0"/>
              <w:keepLines w:val="0"/>
              <w:pageBreakBefore w:val="0"/>
              <w:kinsoku/>
              <w:wordWrap/>
              <w:overflowPunct/>
              <w:topLinePunct w:val="0"/>
              <w:autoSpaceDE/>
              <w:autoSpaceDN/>
              <w:bidi w:val="0"/>
              <w:adjustRightInd/>
              <w:snapToGrid/>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1台</w:t>
            </w:r>
          </w:p>
        </w:tc>
        <w:tc>
          <w:tcPr>
            <w:tcW w:w="3914" w:type="pct"/>
            <w:vAlign w:val="center"/>
          </w:tcPr>
          <w:p w14:paraId="4C5D78DA">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华为/Huawei 2288H V5 机架式服务器/2.1GHz/INTEL 至强金牌/20 核/DDR4/480GB/12TB/12TB/机架式服务器/无/128GB/服务器产品类别:机架式服务器 </w:t>
            </w:r>
          </w:p>
          <w:p w14:paraId="38F228A6">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电源类型:冗余电源 </w:t>
            </w:r>
          </w:p>
          <w:p w14:paraId="3D0E3FE5">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RAID方式:RAID 60,RAID 10,RAID 50,无,RAID 0,RAID 1,RAID 5,RAID 6 </w:t>
            </w:r>
          </w:p>
          <w:p w14:paraId="66B61AFE">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操作系统:无 </w:t>
            </w:r>
          </w:p>
          <w:p w14:paraId="73366434">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扩展槽:10 </w:t>
            </w:r>
          </w:p>
          <w:p w14:paraId="08AF083E">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内存插槽:24个 </w:t>
            </w:r>
          </w:p>
          <w:p w14:paraId="3DDBF4FC">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插槽配置说明:最大支持10个PCIE插槽 </w:t>
            </w:r>
          </w:p>
          <w:p w14:paraId="3A5245CF">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硬盘容量说明:2*480GB SSD，6*12TB SATA </w:t>
            </w:r>
          </w:p>
          <w:p w14:paraId="014CDD03">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产品尺寸:86.1mm×447mm×748mm </w:t>
            </w:r>
          </w:p>
          <w:p w14:paraId="7CC76226">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产品结构:2U </w:t>
            </w:r>
          </w:p>
          <w:p w14:paraId="080D5680">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CPU类型:INTEL 至强金牌 </w:t>
            </w:r>
          </w:p>
          <w:p w14:paraId="02BC33E9">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CPU型号:Intel 至强 Gold 5218R </w:t>
            </w:r>
          </w:p>
          <w:p w14:paraId="09202918">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网口:4 </w:t>
            </w:r>
          </w:p>
          <w:p w14:paraId="31D54115">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CPU数量:2颗 </w:t>
            </w:r>
          </w:p>
          <w:p w14:paraId="5D2E9869">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内存条数:4 </w:t>
            </w:r>
          </w:p>
          <w:p w14:paraId="5F99E446">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内存容量(单条):32GB </w:t>
            </w:r>
          </w:p>
          <w:p w14:paraId="2DD737C8">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CPU速度/主频:2.1GHz </w:t>
            </w:r>
          </w:p>
          <w:p w14:paraId="3483D224">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CPU核数:20核 </w:t>
            </w:r>
          </w:p>
          <w:p w14:paraId="40218ACA">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固态硬盘数量:2 </w:t>
            </w:r>
          </w:p>
          <w:p w14:paraId="61D64DCF">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内存类型:DDR4 </w:t>
            </w:r>
          </w:p>
          <w:p w14:paraId="7573E3A6">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固态硬盘容量(单个):480GB </w:t>
            </w:r>
          </w:p>
          <w:p w14:paraId="79F15542">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机械硬盘容量(单个):12TB </w:t>
            </w:r>
          </w:p>
          <w:p w14:paraId="3A60ABDB">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内存容量:128GB </w:t>
            </w:r>
          </w:p>
          <w:p w14:paraId="29ADB32C">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机械硬盘数量:6 </w:t>
            </w:r>
          </w:p>
          <w:p w14:paraId="07BF64D2">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固态硬盘容量:480GB*2 </w:t>
            </w:r>
          </w:p>
          <w:p w14:paraId="548B8ADA">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硬盘类型:混合硬盘 </w:t>
            </w:r>
          </w:p>
          <w:p w14:paraId="085AC0BD">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机械硬盘容量:12TB*6 </w:t>
            </w:r>
          </w:p>
          <w:p w14:paraId="1CA0C996">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硬盘容量:72T+600G </w:t>
            </w:r>
          </w:p>
          <w:p w14:paraId="5F623870">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端口传输速率:10GB </w:t>
            </w:r>
          </w:p>
          <w:p w14:paraId="561BFC53">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HBA卡端口数量:0 </w:t>
            </w:r>
          </w:p>
          <w:p w14:paraId="0AABDB9D">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网卡端口数量:4 </w:t>
            </w:r>
          </w:p>
          <w:p w14:paraId="7E14D93E">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HBA传输速率:0 </w:t>
            </w:r>
          </w:p>
          <w:p w14:paraId="00DF1D1C">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电源热插拔:支持 </w:t>
            </w:r>
          </w:p>
          <w:p w14:paraId="0A6C58C6">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串口数量:1 </w:t>
            </w:r>
          </w:p>
          <w:p w14:paraId="79964DBD">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1GB网络端口数量:2 </w:t>
            </w:r>
          </w:p>
          <w:p w14:paraId="16313EA4">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质保期限:5年 </w:t>
            </w:r>
          </w:p>
          <w:p w14:paraId="7A3CD5E4">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10GB网络端口数量:2 </w:t>
            </w:r>
          </w:p>
          <w:p w14:paraId="0AE69480">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USB2.0接口数量:2 </w:t>
            </w:r>
          </w:p>
          <w:p w14:paraId="4ADBB1F7">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VGA接口数量:1 </w:t>
            </w:r>
          </w:p>
          <w:p w14:paraId="694724CC">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支持最大处理器数目:2 </w:t>
            </w:r>
          </w:p>
          <w:p w14:paraId="695B9EAB">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PCI-E 2.0 x4 插槽数量:0 </w:t>
            </w:r>
          </w:p>
          <w:p w14:paraId="7AE2E9EC">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PCI-E 2.0 x8 插槽数量:0 </w:t>
            </w:r>
          </w:p>
          <w:p w14:paraId="6E3500D6">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PCI-E 2.0 x16 插槽数量:0 </w:t>
            </w:r>
          </w:p>
          <w:p w14:paraId="026E068F">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PCI-E 3.0 x4 插槽数量:0 </w:t>
            </w:r>
          </w:p>
          <w:p w14:paraId="51FE5651">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PCI-E 3.0 x8 插槽数量:0 </w:t>
            </w:r>
          </w:p>
          <w:p w14:paraId="25424E60">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PCI-E 3.0 x16 插槽数量:0 </w:t>
            </w:r>
          </w:p>
          <w:p w14:paraId="7BC58766">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电源冗余:支持 </w:t>
            </w:r>
          </w:p>
          <w:p w14:paraId="63E83BAE">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硬盘数量:8 </w:t>
            </w:r>
          </w:p>
          <w:p w14:paraId="5F466424">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中国国家强制性产品认证证书编号:2017010911969365 </w:t>
            </w:r>
          </w:p>
          <w:p w14:paraId="2A7CA26E">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包装清单:电源线、导轨 </w:t>
            </w:r>
          </w:p>
          <w:p w14:paraId="0A701847">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售后服务:原厂5年保修服务 </w:t>
            </w:r>
          </w:p>
          <w:p w14:paraId="6C88C932">
            <w:pPr>
              <w:keepNext w:val="0"/>
              <w:keepLines w:val="0"/>
              <w:pageBreakBefore w:val="0"/>
              <w:kinsoku/>
              <w:wordWrap/>
              <w:overflowPunct/>
              <w:topLinePunct w:val="0"/>
              <w:autoSpaceDE/>
              <w:autoSpaceDN/>
              <w:bidi w:val="0"/>
              <w:adjustRightInd/>
              <w:snapToGrid/>
              <w:textAlignment w:val="auto"/>
              <w:outlineLvl w:val="9"/>
              <w:rPr>
                <w:rFonts w:hint="eastAsia" w:ascii="仿宋" w:hAnsi="仿宋" w:eastAsia="仿宋" w:cs="仿宋"/>
                <w:sz w:val="24"/>
                <w:szCs w:val="24"/>
              </w:rPr>
            </w:pPr>
            <w:r>
              <w:rPr>
                <w:rFonts w:hint="eastAsia" w:ascii="仿宋" w:hAnsi="仿宋" w:eastAsia="仿宋" w:cs="仿宋"/>
                <w:color w:val="000000"/>
                <w:kern w:val="0"/>
                <w:sz w:val="24"/>
                <w:szCs w:val="24"/>
              </w:rPr>
              <w:t>中国国家强制性产品认证证书有效期:2027-05-15</w:t>
            </w:r>
          </w:p>
        </w:tc>
      </w:tr>
      <w:tr w14:paraId="113E8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273" w:type="pct"/>
            <w:vAlign w:val="center"/>
          </w:tcPr>
          <w:p w14:paraId="28540D33">
            <w:pPr>
              <w:keepNext w:val="0"/>
              <w:keepLines w:val="0"/>
              <w:pageBreakBefore w:val="0"/>
              <w:kinsoku/>
              <w:wordWrap/>
              <w:overflowPunct/>
              <w:topLinePunct w:val="0"/>
              <w:autoSpaceDE/>
              <w:autoSpaceDN/>
              <w:bidi w:val="0"/>
              <w:adjustRightInd/>
              <w:snapToGrid/>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3</w:t>
            </w:r>
          </w:p>
        </w:tc>
        <w:tc>
          <w:tcPr>
            <w:tcW w:w="539" w:type="pct"/>
            <w:vAlign w:val="center"/>
          </w:tcPr>
          <w:p w14:paraId="3B8B14C0">
            <w:pPr>
              <w:keepNext w:val="0"/>
              <w:keepLines w:val="0"/>
              <w:pageBreakBefore w:val="0"/>
              <w:kinsoku/>
              <w:wordWrap/>
              <w:overflowPunct/>
              <w:topLinePunct w:val="0"/>
              <w:autoSpaceDE/>
              <w:autoSpaceDN/>
              <w:bidi w:val="0"/>
              <w:adjustRightInd/>
              <w:snapToGrid/>
              <w:jc w:val="center"/>
              <w:textAlignment w:val="auto"/>
              <w:outlineLvl w:val="9"/>
              <w:rPr>
                <w:rFonts w:hint="eastAsia" w:ascii="仿宋" w:hAnsi="仿宋" w:eastAsia="仿宋" w:cs="仿宋"/>
                <w:sz w:val="24"/>
                <w:szCs w:val="24"/>
              </w:rPr>
            </w:pPr>
            <w:r>
              <w:rPr>
                <w:rFonts w:hint="eastAsia" w:ascii="仿宋" w:hAnsi="仿宋" w:eastAsia="仿宋" w:cs="仿宋"/>
                <w:bCs/>
                <w:sz w:val="24"/>
                <w:szCs w:val="24"/>
              </w:rPr>
              <w:t>应用服务器</w:t>
            </w:r>
          </w:p>
        </w:tc>
        <w:tc>
          <w:tcPr>
            <w:tcW w:w="273" w:type="pct"/>
            <w:vAlign w:val="center"/>
          </w:tcPr>
          <w:p w14:paraId="61A7DE91">
            <w:pPr>
              <w:keepNext w:val="0"/>
              <w:keepLines w:val="0"/>
              <w:pageBreakBefore w:val="0"/>
              <w:kinsoku/>
              <w:wordWrap/>
              <w:overflowPunct/>
              <w:topLinePunct w:val="0"/>
              <w:autoSpaceDE/>
              <w:autoSpaceDN/>
              <w:bidi w:val="0"/>
              <w:adjustRightInd/>
              <w:snapToGrid/>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1台</w:t>
            </w:r>
          </w:p>
        </w:tc>
        <w:tc>
          <w:tcPr>
            <w:tcW w:w="3914" w:type="pct"/>
            <w:vAlign w:val="center"/>
          </w:tcPr>
          <w:p w14:paraId="79DDBB91">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华为/Huawei 2288H V5 机架式服务器/2.1GHz/INTEL 至强银牌/16 核/DDR4/480GB/10TB/10TB/机架式服务器/无/64GB/服务器产品类别:机架式服务器 </w:t>
            </w:r>
          </w:p>
          <w:p w14:paraId="4A71A60E">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电源类型:冗余电源 </w:t>
            </w:r>
          </w:p>
          <w:p w14:paraId="04FC5502">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RAID方式:RAID 60,RAID 10,RAID 50,无,RAID 0,RAID 1,RAID 5,RAID 6 </w:t>
            </w:r>
          </w:p>
          <w:p w14:paraId="5F55F31C">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操作系统:无 </w:t>
            </w:r>
          </w:p>
          <w:p w14:paraId="7F5C5AA6">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扩展槽:10 </w:t>
            </w:r>
          </w:p>
          <w:p w14:paraId="150E9E93">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内存插槽:24个 </w:t>
            </w:r>
          </w:p>
          <w:p w14:paraId="6CE62213">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插槽配置说明:最大支持10个PCIE插槽 </w:t>
            </w:r>
          </w:p>
          <w:p w14:paraId="53B62757">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硬盘容量说明:2*480GB SSD，5*10T </w:t>
            </w:r>
          </w:p>
          <w:p w14:paraId="0E1018F0">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产品尺寸:86.1mm×447mm×748mm </w:t>
            </w:r>
          </w:p>
          <w:p w14:paraId="1A996AFC">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产品结构:2U </w:t>
            </w:r>
          </w:p>
          <w:p w14:paraId="0AA9F714">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CPU类型:INTEL 至强银牌 </w:t>
            </w:r>
          </w:p>
          <w:p w14:paraId="35787037">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CPU型号:Intel 至强 Silver 4216 </w:t>
            </w:r>
          </w:p>
          <w:p w14:paraId="6875BF6D">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网口:4 </w:t>
            </w:r>
          </w:p>
          <w:p w14:paraId="083DA373">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CPU数量:2颗 </w:t>
            </w:r>
          </w:p>
          <w:p w14:paraId="3FB42701">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内存条数:2 </w:t>
            </w:r>
          </w:p>
          <w:p w14:paraId="7D491BFD">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内存容量(单条):32GB </w:t>
            </w:r>
          </w:p>
          <w:p w14:paraId="78C3B5D0">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CPU速度/主频:2.1GHz </w:t>
            </w:r>
          </w:p>
          <w:p w14:paraId="0722E4FA">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CPU核数:16核 </w:t>
            </w:r>
          </w:p>
          <w:p w14:paraId="60B6FA66">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固态硬盘数量:2 </w:t>
            </w:r>
          </w:p>
          <w:p w14:paraId="66B10201">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内存类型:DDR4 </w:t>
            </w:r>
          </w:p>
          <w:p w14:paraId="2FA6D03C">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固态硬盘容量(单个):480GB </w:t>
            </w:r>
          </w:p>
          <w:p w14:paraId="2D8F488B">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机械硬盘容量(单个):10TB </w:t>
            </w:r>
          </w:p>
          <w:p w14:paraId="6CDEBF8E">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内存容量:64GB </w:t>
            </w:r>
          </w:p>
          <w:p w14:paraId="38679A3B">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机械硬盘数量:5 </w:t>
            </w:r>
          </w:p>
          <w:p w14:paraId="799495C8">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固态硬盘容量:480GB*2 </w:t>
            </w:r>
          </w:p>
          <w:p w14:paraId="54431D61">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硬盘类型:混合硬盘 </w:t>
            </w:r>
          </w:p>
          <w:p w14:paraId="2DCAF8AB">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机械硬盘容量:10TB*5 </w:t>
            </w:r>
          </w:p>
          <w:p w14:paraId="5EB27736">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硬盘容量:48T </w:t>
            </w:r>
          </w:p>
          <w:p w14:paraId="7F942A34">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端口传输速率:10GB </w:t>
            </w:r>
          </w:p>
          <w:p w14:paraId="72241A0E">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HBA卡端口数量:0 </w:t>
            </w:r>
          </w:p>
          <w:p w14:paraId="6E086D04">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网卡端口数量:4 </w:t>
            </w:r>
          </w:p>
          <w:p w14:paraId="544B1BE0">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HBA传输速率:0 </w:t>
            </w:r>
          </w:p>
          <w:p w14:paraId="60795017">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电源热插拔:支持 </w:t>
            </w:r>
          </w:p>
          <w:p w14:paraId="29027BE4">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串口数量:1 </w:t>
            </w:r>
          </w:p>
          <w:p w14:paraId="5F57A521">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1GB网络端口数量:2 </w:t>
            </w:r>
          </w:p>
          <w:p w14:paraId="4066D1E2">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质保期限:5年 </w:t>
            </w:r>
          </w:p>
          <w:p w14:paraId="438E9E59">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10GB网络端口数量:2 </w:t>
            </w:r>
          </w:p>
          <w:p w14:paraId="515D8E9A">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USB2.0接口数量:2 </w:t>
            </w:r>
          </w:p>
          <w:p w14:paraId="0D3494B9">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VGA接口数量:1 </w:t>
            </w:r>
          </w:p>
          <w:p w14:paraId="353A2A77">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支持最大处理器数目:0 </w:t>
            </w:r>
          </w:p>
          <w:p w14:paraId="137BE5FC">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PCI-E 2.0 x4 插槽数量:0 </w:t>
            </w:r>
          </w:p>
          <w:p w14:paraId="1332A45B">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PCI-E 2.0 x8 插槽数量:0 </w:t>
            </w:r>
          </w:p>
          <w:p w14:paraId="18D7E631">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PCI-E 2.0 x16 插槽数量:0 </w:t>
            </w:r>
          </w:p>
          <w:p w14:paraId="2DA6A2F2">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PCI-E 3.0 x4 插槽数量:0 </w:t>
            </w:r>
          </w:p>
          <w:p w14:paraId="6CC5D9C8">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PCI-E 3.0 x8 插槽数量:0 </w:t>
            </w:r>
          </w:p>
          <w:p w14:paraId="7D40AC83">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PCI-E 3.0 x16 插槽数量:0 </w:t>
            </w:r>
          </w:p>
          <w:p w14:paraId="35271C4B">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电源冗余:支持 </w:t>
            </w:r>
          </w:p>
          <w:p w14:paraId="38754915">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硬盘数量:7 </w:t>
            </w:r>
          </w:p>
          <w:p w14:paraId="06816A52">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中国国家强制性产品认证证书编号:2017010911969365 </w:t>
            </w:r>
          </w:p>
          <w:p w14:paraId="2DD88E67">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包装清单:电源线、导轨 </w:t>
            </w:r>
          </w:p>
          <w:p w14:paraId="67DBCB40">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售后服务:原厂5年保修服务 </w:t>
            </w:r>
          </w:p>
          <w:p w14:paraId="59E802C2">
            <w:pPr>
              <w:keepNext w:val="0"/>
              <w:keepLines w:val="0"/>
              <w:pageBreakBefore w:val="0"/>
              <w:kinsoku/>
              <w:wordWrap/>
              <w:overflowPunct/>
              <w:topLinePunct w:val="0"/>
              <w:autoSpaceDE/>
              <w:autoSpaceDN/>
              <w:bidi w:val="0"/>
              <w:adjustRightInd/>
              <w:snapToGrid/>
              <w:textAlignment w:val="auto"/>
              <w:outlineLvl w:val="9"/>
              <w:rPr>
                <w:rFonts w:hint="eastAsia" w:ascii="仿宋" w:hAnsi="仿宋" w:eastAsia="仿宋" w:cs="仿宋"/>
                <w:sz w:val="24"/>
                <w:szCs w:val="24"/>
              </w:rPr>
            </w:pPr>
            <w:r>
              <w:rPr>
                <w:rFonts w:hint="eastAsia" w:ascii="仿宋" w:hAnsi="仿宋" w:eastAsia="仿宋" w:cs="仿宋"/>
                <w:color w:val="000000"/>
                <w:kern w:val="0"/>
                <w:sz w:val="24"/>
                <w:szCs w:val="24"/>
              </w:rPr>
              <w:t>中国国家强制性产品认证证书有效期:2027-05-15</w:t>
            </w:r>
          </w:p>
        </w:tc>
      </w:tr>
      <w:tr w14:paraId="0C8F6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273" w:type="pct"/>
            <w:vAlign w:val="center"/>
          </w:tcPr>
          <w:p w14:paraId="27D63188">
            <w:pPr>
              <w:keepNext w:val="0"/>
              <w:keepLines w:val="0"/>
              <w:pageBreakBefore w:val="0"/>
              <w:kinsoku/>
              <w:wordWrap/>
              <w:overflowPunct/>
              <w:topLinePunct w:val="0"/>
              <w:autoSpaceDE/>
              <w:autoSpaceDN/>
              <w:bidi w:val="0"/>
              <w:adjustRightInd/>
              <w:snapToGrid/>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4</w:t>
            </w:r>
          </w:p>
        </w:tc>
        <w:tc>
          <w:tcPr>
            <w:tcW w:w="539" w:type="pct"/>
            <w:vAlign w:val="center"/>
          </w:tcPr>
          <w:p w14:paraId="5F36EFBE">
            <w:pPr>
              <w:keepNext w:val="0"/>
              <w:keepLines w:val="0"/>
              <w:pageBreakBefore w:val="0"/>
              <w:kinsoku/>
              <w:wordWrap/>
              <w:overflowPunct/>
              <w:topLinePunct w:val="0"/>
              <w:autoSpaceDE/>
              <w:autoSpaceDN/>
              <w:bidi w:val="0"/>
              <w:adjustRightInd/>
              <w:snapToGrid/>
              <w:jc w:val="center"/>
              <w:textAlignment w:val="auto"/>
              <w:outlineLvl w:val="9"/>
              <w:rPr>
                <w:rFonts w:hint="eastAsia" w:ascii="仿宋" w:hAnsi="仿宋" w:eastAsia="仿宋" w:cs="仿宋"/>
                <w:sz w:val="24"/>
                <w:szCs w:val="24"/>
              </w:rPr>
            </w:pPr>
            <w:r>
              <w:rPr>
                <w:rFonts w:hint="eastAsia" w:ascii="仿宋" w:hAnsi="仿宋" w:eastAsia="仿宋" w:cs="仿宋"/>
                <w:bCs/>
                <w:kern w:val="0"/>
                <w:sz w:val="24"/>
                <w:szCs w:val="24"/>
              </w:rPr>
              <w:t>调度服务器</w:t>
            </w:r>
          </w:p>
        </w:tc>
        <w:tc>
          <w:tcPr>
            <w:tcW w:w="273" w:type="pct"/>
            <w:vAlign w:val="center"/>
          </w:tcPr>
          <w:p w14:paraId="599834D9">
            <w:pPr>
              <w:keepNext w:val="0"/>
              <w:keepLines w:val="0"/>
              <w:pageBreakBefore w:val="0"/>
              <w:kinsoku/>
              <w:wordWrap/>
              <w:overflowPunct/>
              <w:topLinePunct w:val="0"/>
              <w:autoSpaceDE/>
              <w:autoSpaceDN/>
              <w:bidi w:val="0"/>
              <w:adjustRightInd/>
              <w:snapToGrid/>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1台</w:t>
            </w:r>
          </w:p>
        </w:tc>
        <w:tc>
          <w:tcPr>
            <w:tcW w:w="3914" w:type="pct"/>
            <w:vAlign w:val="center"/>
          </w:tcPr>
          <w:p w14:paraId="2DF304B9">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华为/Huawei 2288H V5 机架式服务器/2.4GHz/INTEL 至强银牌/10核/DDR4/960GB/无/无/机架 </w:t>
            </w:r>
          </w:p>
          <w:p w14:paraId="5F08FB48">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式服务器/无/32GB/服务器产品类别:机架式服务器 </w:t>
            </w:r>
          </w:p>
          <w:p w14:paraId="769CDD55">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电源类型:冗余电源 </w:t>
            </w:r>
          </w:p>
          <w:p w14:paraId="7AE40075">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RAID方式:RAID 60,RAID 10,RAID 50,无,RAID 0,RAID 1,RAID 5,RAID 6 </w:t>
            </w:r>
          </w:p>
          <w:p w14:paraId="17F28F01">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操作系统:无 </w:t>
            </w:r>
          </w:p>
          <w:p w14:paraId="4F64CEA3">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扩展槽:10 </w:t>
            </w:r>
          </w:p>
          <w:p w14:paraId="695822AC">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内存插槽:24个 </w:t>
            </w:r>
          </w:p>
          <w:p w14:paraId="75370A0E">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插槽配置说明:最大支持10个PCIE插槽 </w:t>
            </w:r>
          </w:p>
          <w:p w14:paraId="5B89B8AA">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硬盘容量说明:8*960GB SSD </w:t>
            </w:r>
          </w:p>
          <w:p w14:paraId="4D7E3C15">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产品尺寸:86.1mm×447mm×748mm </w:t>
            </w:r>
          </w:p>
          <w:p w14:paraId="7ED3C1CC">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产品结构:2U </w:t>
            </w:r>
          </w:p>
          <w:p w14:paraId="1CBEBCF3">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CPU类型:INTEL 至强银牌 </w:t>
            </w:r>
          </w:p>
          <w:p w14:paraId="5C638A45">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CPU型号:Intel至强 银牌4210R </w:t>
            </w:r>
          </w:p>
          <w:p w14:paraId="71BC6AA8">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网口:4 </w:t>
            </w:r>
          </w:p>
          <w:p w14:paraId="645496F4">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CPU数量:2颗 </w:t>
            </w:r>
          </w:p>
          <w:p w14:paraId="1C300C73">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内存条数:2 </w:t>
            </w:r>
          </w:p>
          <w:p w14:paraId="7A5A4A47">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内存容量(单条):16GB </w:t>
            </w:r>
          </w:p>
          <w:p w14:paraId="74E06FF7">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CPU速度/主频:2.4GHz </w:t>
            </w:r>
          </w:p>
          <w:p w14:paraId="61343F67">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CPU核数:10核 </w:t>
            </w:r>
          </w:p>
          <w:p w14:paraId="2C71492E">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固态硬盘数量:8 </w:t>
            </w:r>
          </w:p>
          <w:p w14:paraId="11113FBB">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内存类型:DDR4 </w:t>
            </w:r>
          </w:p>
          <w:p w14:paraId="5DC6B07D">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固态硬盘容量(单个):960GB </w:t>
            </w:r>
          </w:p>
          <w:p w14:paraId="2A6D9729">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机械硬盘容量(单个):无 </w:t>
            </w:r>
          </w:p>
          <w:p w14:paraId="494CBB03">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内存容量:32GB </w:t>
            </w:r>
          </w:p>
          <w:p w14:paraId="1FAF47FF">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机械硬盘数量:0 </w:t>
            </w:r>
          </w:p>
          <w:p w14:paraId="2269B650">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固态硬盘容量:960GB*8 </w:t>
            </w:r>
          </w:p>
          <w:p w14:paraId="4C83E923">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硬盘类型:固态硬盘（SSD） </w:t>
            </w:r>
          </w:p>
          <w:p w14:paraId="7B93C7E4">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机械硬盘容量:无 </w:t>
            </w:r>
          </w:p>
          <w:p w14:paraId="6F687069">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硬盘容量:960GB*8 </w:t>
            </w:r>
          </w:p>
          <w:p w14:paraId="14AD4C48">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端口传输速率:10GB </w:t>
            </w:r>
          </w:p>
          <w:p w14:paraId="57541B6E">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HBA卡端口数量:0 </w:t>
            </w:r>
          </w:p>
          <w:p w14:paraId="50AD2A6B">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网卡端口数量:4 </w:t>
            </w:r>
          </w:p>
          <w:p w14:paraId="1E413473">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HBA传输速率:0 </w:t>
            </w:r>
          </w:p>
          <w:p w14:paraId="4685D0A1">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电源热插拔:支持 </w:t>
            </w:r>
          </w:p>
          <w:p w14:paraId="16A19AD0">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串口数量:1 </w:t>
            </w:r>
          </w:p>
          <w:p w14:paraId="50BCEDBC">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1GB网络端口数量:2 </w:t>
            </w:r>
          </w:p>
          <w:p w14:paraId="7AF92CC5">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质保期限:5年 </w:t>
            </w:r>
          </w:p>
          <w:p w14:paraId="44377BD9">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10GB网络端口数量:2 </w:t>
            </w:r>
          </w:p>
          <w:p w14:paraId="1F971E75">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USB2.0接口数量:2 </w:t>
            </w:r>
          </w:p>
          <w:p w14:paraId="03783431">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VGA接口数量:1 </w:t>
            </w:r>
          </w:p>
          <w:p w14:paraId="3576EC6E">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支持最大处理器数目:2 </w:t>
            </w:r>
          </w:p>
          <w:p w14:paraId="2E590D61">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PCI-E 2.0 x4 插槽数量:0 </w:t>
            </w:r>
          </w:p>
          <w:p w14:paraId="29631EC7">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PCI-E 2.0 x8 插槽数量:0 </w:t>
            </w:r>
          </w:p>
          <w:p w14:paraId="5AA07848">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PCI-E 2.0 x16 插槽数量:0 </w:t>
            </w:r>
          </w:p>
          <w:p w14:paraId="593340A4">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PCI-E 3.0 x4 插槽数量:0 </w:t>
            </w:r>
          </w:p>
          <w:p w14:paraId="1E43AF4B">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PCI-E 3.0 x8 插槽数量:0 </w:t>
            </w:r>
          </w:p>
          <w:p w14:paraId="25A89050">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PCI-E 3.0 x16 插槽数量:0 </w:t>
            </w:r>
          </w:p>
          <w:p w14:paraId="4EB50C27">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电源冗余:支持 </w:t>
            </w:r>
          </w:p>
          <w:p w14:paraId="12A00BC3">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硬盘数量:8 </w:t>
            </w:r>
          </w:p>
          <w:p w14:paraId="20EFF848">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中国国家强制性产品认证证书编号:2017010911969365 </w:t>
            </w:r>
          </w:p>
          <w:p w14:paraId="31149DBA">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包装清单:电源线、导轨 </w:t>
            </w:r>
          </w:p>
          <w:p w14:paraId="7EF3AB8D">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售后服务:原厂5年保修服务 </w:t>
            </w:r>
          </w:p>
          <w:p w14:paraId="3A242A87">
            <w:pPr>
              <w:keepNext w:val="0"/>
              <w:keepLines w:val="0"/>
              <w:pageBreakBefore w:val="0"/>
              <w:kinsoku/>
              <w:wordWrap/>
              <w:overflowPunct/>
              <w:topLinePunct w:val="0"/>
              <w:autoSpaceDE/>
              <w:autoSpaceDN/>
              <w:bidi w:val="0"/>
              <w:adjustRightInd/>
              <w:snapToGrid/>
              <w:textAlignment w:val="auto"/>
              <w:outlineLvl w:val="9"/>
              <w:rPr>
                <w:rFonts w:hint="eastAsia" w:ascii="仿宋" w:hAnsi="仿宋" w:eastAsia="仿宋" w:cs="仿宋"/>
                <w:sz w:val="24"/>
                <w:szCs w:val="24"/>
              </w:rPr>
            </w:pPr>
            <w:r>
              <w:rPr>
                <w:rFonts w:hint="eastAsia" w:ascii="仿宋" w:hAnsi="仿宋" w:eastAsia="仿宋" w:cs="仿宋"/>
                <w:color w:val="000000"/>
                <w:kern w:val="0"/>
                <w:sz w:val="24"/>
                <w:szCs w:val="24"/>
              </w:rPr>
              <w:t>中国国家强制性产品认证证书有效期:2027-05-15</w:t>
            </w:r>
          </w:p>
        </w:tc>
      </w:tr>
      <w:tr w14:paraId="339A9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273" w:type="pct"/>
            <w:vAlign w:val="center"/>
          </w:tcPr>
          <w:p w14:paraId="741F93E3">
            <w:pPr>
              <w:keepNext w:val="0"/>
              <w:keepLines w:val="0"/>
              <w:pageBreakBefore w:val="0"/>
              <w:kinsoku/>
              <w:wordWrap/>
              <w:overflowPunct/>
              <w:topLinePunct w:val="0"/>
              <w:autoSpaceDE/>
              <w:autoSpaceDN/>
              <w:bidi w:val="0"/>
              <w:adjustRightInd/>
              <w:snapToGrid/>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5</w:t>
            </w:r>
          </w:p>
        </w:tc>
        <w:tc>
          <w:tcPr>
            <w:tcW w:w="539" w:type="pct"/>
            <w:vAlign w:val="center"/>
          </w:tcPr>
          <w:p w14:paraId="7A7969B7">
            <w:pPr>
              <w:keepNext w:val="0"/>
              <w:keepLines w:val="0"/>
              <w:pageBreakBefore w:val="0"/>
              <w:kinsoku/>
              <w:wordWrap/>
              <w:overflowPunct/>
              <w:topLinePunct w:val="0"/>
              <w:autoSpaceDE/>
              <w:autoSpaceDN/>
              <w:bidi w:val="0"/>
              <w:adjustRightInd/>
              <w:snapToGrid/>
              <w:jc w:val="center"/>
              <w:textAlignment w:val="auto"/>
              <w:outlineLvl w:val="9"/>
              <w:rPr>
                <w:rFonts w:hint="eastAsia" w:ascii="仿宋" w:hAnsi="仿宋" w:eastAsia="仿宋" w:cs="仿宋"/>
                <w:sz w:val="24"/>
                <w:szCs w:val="24"/>
              </w:rPr>
            </w:pPr>
            <w:r>
              <w:rPr>
                <w:rFonts w:hint="eastAsia" w:ascii="仿宋" w:hAnsi="仿宋" w:eastAsia="仿宋" w:cs="仿宋"/>
                <w:bCs/>
                <w:kern w:val="0"/>
                <w:sz w:val="24"/>
                <w:szCs w:val="24"/>
              </w:rPr>
              <w:t>负载均衡服务器</w:t>
            </w:r>
          </w:p>
        </w:tc>
        <w:tc>
          <w:tcPr>
            <w:tcW w:w="273" w:type="pct"/>
            <w:vAlign w:val="center"/>
          </w:tcPr>
          <w:p w14:paraId="1ED9943C">
            <w:pPr>
              <w:keepNext w:val="0"/>
              <w:keepLines w:val="0"/>
              <w:pageBreakBefore w:val="0"/>
              <w:kinsoku/>
              <w:wordWrap/>
              <w:overflowPunct/>
              <w:topLinePunct w:val="0"/>
              <w:autoSpaceDE/>
              <w:autoSpaceDN/>
              <w:bidi w:val="0"/>
              <w:adjustRightInd/>
              <w:snapToGrid/>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1台</w:t>
            </w:r>
          </w:p>
        </w:tc>
        <w:tc>
          <w:tcPr>
            <w:tcW w:w="3914" w:type="pct"/>
            <w:vAlign w:val="center"/>
          </w:tcPr>
          <w:p w14:paraId="50CD7998">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华为/Huawei 2288H V5 机架式服务器/2.4GHz/INTEL 至强银牌/10核/DDR4/480GB/4TB/4TB/ </w:t>
            </w:r>
          </w:p>
          <w:p w14:paraId="75BEA617">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机架式服务器/无/32GB/服务器产品类别:机架式服务器 </w:t>
            </w:r>
          </w:p>
          <w:p w14:paraId="2DF6B372">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电源类型:冗余电源 </w:t>
            </w:r>
          </w:p>
          <w:p w14:paraId="6C4EF640">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RAID方式:RAID 60,RAID 10,RAID 50,无,RAID 0,RAID 1,RAID 5,RAID 6 </w:t>
            </w:r>
          </w:p>
          <w:p w14:paraId="2C49ED49">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操作系统:无 </w:t>
            </w:r>
          </w:p>
          <w:p w14:paraId="2B20E30F">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扩展槽:10 </w:t>
            </w:r>
          </w:p>
          <w:p w14:paraId="27B3929D">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内存插槽:24个 </w:t>
            </w:r>
          </w:p>
          <w:p w14:paraId="2F0C548C">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插槽配置说明:最大支持10个PCIE插槽 </w:t>
            </w:r>
          </w:p>
          <w:p w14:paraId="07144B97">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硬盘容量说明:2*480GB SSD，2*4TB SATA </w:t>
            </w:r>
          </w:p>
          <w:p w14:paraId="30A49355">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产品尺寸:86.1mm×447mm×748mm </w:t>
            </w:r>
          </w:p>
          <w:p w14:paraId="34B4F58D">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产品结构:2U </w:t>
            </w:r>
          </w:p>
          <w:p w14:paraId="1D3CFB9D">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CPU类型:INTEL 至强银牌 </w:t>
            </w:r>
          </w:p>
          <w:p w14:paraId="478D8443">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CPU型号:Intel至强 银牌4210R </w:t>
            </w:r>
          </w:p>
          <w:p w14:paraId="1B17CA18">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网口:4 </w:t>
            </w:r>
          </w:p>
          <w:p w14:paraId="7AB0C6B1">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CPU数量:2颗 </w:t>
            </w:r>
          </w:p>
          <w:p w14:paraId="6AC37B8B">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内存条数:2 </w:t>
            </w:r>
          </w:p>
          <w:p w14:paraId="68677E74">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内存容量(单条):16GB </w:t>
            </w:r>
          </w:p>
          <w:p w14:paraId="656B04C0">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CPU速度/主频:2.4GHz </w:t>
            </w:r>
          </w:p>
          <w:p w14:paraId="55A22712">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CPU核数:10核 </w:t>
            </w:r>
          </w:p>
          <w:p w14:paraId="48C1B7E7">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固态硬盘数量:2 </w:t>
            </w:r>
          </w:p>
          <w:p w14:paraId="4AB8F501">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内存类型:DDR4 </w:t>
            </w:r>
          </w:p>
          <w:p w14:paraId="349C0A45">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固态硬盘容量(单个):480GB </w:t>
            </w:r>
          </w:p>
          <w:p w14:paraId="6142C9EA">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机械硬盘容量(单个):4TB </w:t>
            </w:r>
          </w:p>
          <w:p w14:paraId="5A48EF79">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内存容量:32GB </w:t>
            </w:r>
          </w:p>
          <w:p w14:paraId="3B17CA27">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机械硬盘数量:2 </w:t>
            </w:r>
          </w:p>
          <w:p w14:paraId="1AB301CD">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固态硬盘容量:480GB*2 </w:t>
            </w:r>
          </w:p>
          <w:p w14:paraId="6058E1D3">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硬盘类型:混合硬盘 </w:t>
            </w:r>
          </w:p>
          <w:p w14:paraId="4CDC3903">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机械硬盘容量:4TB*2 </w:t>
            </w:r>
          </w:p>
          <w:p w14:paraId="37840E5E">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硬盘容量:480GB*2+4TB*2 </w:t>
            </w:r>
          </w:p>
          <w:p w14:paraId="602803AA">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端口传输速率:1000Mbps </w:t>
            </w:r>
          </w:p>
          <w:p w14:paraId="7A217096">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HBA卡端口数量:0 </w:t>
            </w:r>
          </w:p>
          <w:p w14:paraId="6FE936E8">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网卡端口数量:4 </w:t>
            </w:r>
          </w:p>
          <w:p w14:paraId="60EC4B67">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HBA传输速率:0 </w:t>
            </w:r>
          </w:p>
          <w:p w14:paraId="6415A8A0">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电源热插拔:支持 </w:t>
            </w:r>
          </w:p>
          <w:p w14:paraId="2DF2E5C8">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串口数量:1 </w:t>
            </w:r>
          </w:p>
          <w:p w14:paraId="5A65F376">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1GB网络端口数量:2 </w:t>
            </w:r>
          </w:p>
          <w:p w14:paraId="1439CC7D">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质保期限:5年 </w:t>
            </w:r>
          </w:p>
          <w:p w14:paraId="086689FE">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10GB网络端口数量:2 </w:t>
            </w:r>
          </w:p>
          <w:p w14:paraId="60C879B0">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USB2.0接口数量:2 </w:t>
            </w:r>
          </w:p>
          <w:p w14:paraId="05F1396C">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VGA接口数量:1 </w:t>
            </w:r>
          </w:p>
          <w:p w14:paraId="1234879B">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支持最大处理器数目:2 </w:t>
            </w:r>
          </w:p>
          <w:p w14:paraId="0442EE99">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PCI-E 2.0 x4 插槽数量:0 </w:t>
            </w:r>
          </w:p>
          <w:p w14:paraId="16C81A48">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PCI-E 2.0 x8 插槽数量:0 </w:t>
            </w:r>
          </w:p>
          <w:p w14:paraId="15A50690">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PCI-E 2.0 x16 插槽数量:0 </w:t>
            </w:r>
          </w:p>
          <w:p w14:paraId="76F983F2">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PCI-E 3.0 x4 插槽数量:0 </w:t>
            </w:r>
          </w:p>
          <w:p w14:paraId="5D47DF9C">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PCI-E 3.0 x8 插槽数量:0 </w:t>
            </w:r>
          </w:p>
          <w:p w14:paraId="295A57E3">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PCI-E 3.0 x16 插槽数量:0 </w:t>
            </w:r>
          </w:p>
          <w:p w14:paraId="09EA6EBE">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电源冗余:支持 </w:t>
            </w:r>
          </w:p>
          <w:p w14:paraId="01A7293F">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硬盘数量:4 </w:t>
            </w:r>
          </w:p>
          <w:p w14:paraId="04E60E89">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中国国家强制性产品认证证书编号:2017010911969365 </w:t>
            </w:r>
          </w:p>
          <w:p w14:paraId="08C85D8A">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包装清单:电源线、导轨 </w:t>
            </w:r>
          </w:p>
          <w:p w14:paraId="09B925D9">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kern w:val="0"/>
                <w:sz w:val="24"/>
                <w:szCs w:val="24"/>
              </w:rPr>
            </w:pPr>
            <w:r>
              <w:rPr>
                <w:rFonts w:hint="eastAsia" w:ascii="仿宋" w:hAnsi="仿宋" w:eastAsia="仿宋" w:cs="仿宋"/>
                <w:color w:val="000000"/>
                <w:kern w:val="0"/>
                <w:sz w:val="24"/>
                <w:szCs w:val="24"/>
              </w:rPr>
              <w:t xml:space="preserve">售后服务:原厂5年保修服务 </w:t>
            </w:r>
          </w:p>
          <w:p w14:paraId="7124126D">
            <w:pPr>
              <w:keepNext w:val="0"/>
              <w:keepLines w:val="0"/>
              <w:pageBreakBefore w:val="0"/>
              <w:kinsoku/>
              <w:wordWrap/>
              <w:overflowPunct/>
              <w:topLinePunct w:val="0"/>
              <w:autoSpaceDE/>
              <w:autoSpaceDN/>
              <w:bidi w:val="0"/>
              <w:adjustRightInd/>
              <w:snapToGrid/>
              <w:textAlignment w:val="auto"/>
              <w:outlineLvl w:val="9"/>
              <w:rPr>
                <w:rFonts w:hint="eastAsia" w:ascii="仿宋" w:hAnsi="仿宋" w:eastAsia="仿宋" w:cs="仿宋"/>
                <w:sz w:val="24"/>
                <w:szCs w:val="24"/>
              </w:rPr>
            </w:pPr>
            <w:r>
              <w:rPr>
                <w:rFonts w:hint="eastAsia" w:ascii="仿宋" w:hAnsi="仿宋" w:eastAsia="仿宋" w:cs="仿宋"/>
                <w:color w:val="000000"/>
                <w:kern w:val="0"/>
                <w:sz w:val="24"/>
                <w:szCs w:val="24"/>
              </w:rPr>
              <w:t>中国国家强制性产品认证证书有效期:2027-05-15</w:t>
            </w:r>
          </w:p>
        </w:tc>
      </w:tr>
      <w:tr w14:paraId="63272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273" w:type="pct"/>
            <w:vAlign w:val="center"/>
          </w:tcPr>
          <w:p w14:paraId="1649EF95">
            <w:pPr>
              <w:keepNext w:val="0"/>
              <w:keepLines w:val="0"/>
              <w:pageBreakBefore w:val="0"/>
              <w:kinsoku/>
              <w:wordWrap/>
              <w:overflowPunct/>
              <w:topLinePunct w:val="0"/>
              <w:autoSpaceDE/>
              <w:autoSpaceDN/>
              <w:bidi w:val="0"/>
              <w:adjustRightInd/>
              <w:snapToGrid/>
              <w:jc w:val="center"/>
              <w:textAlignment w:val="auto"/>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w:t>
            </w:r>
          </w:p>
        </w:tc>
        <w:tc>
          <w:tcPr>
            <w:tcW w:w="539" w:type="pct"/>
            <w:shd w:val="clear" w:color="auto" w:fill="auto"/>
            <w:vAlign w:val="center"/>
          </w:tcPr>
          <w:p w14:paraId="75474950">
            <w:pPr>
              <w:keepNext w:val="0"/>
              <w:keepLines w:val="0"/>
              <w:pageBreakBefore w:val="0"/>
              <w:kinsoku/>
              <w:wordWrap/>
              <w:overflowPunct/>
              <w:topLinePunct w:val="0"/>
              <w:autoSpaceDE/>
              <w:autoSpaceDN/>
              <w:bidi w:val="0"/>
              <w:adjustRightInd/>
              <w:snapToGrid/>
              <w:jc w:val="center"/>
              <w:textAlignment w:val="auto"/>
              <w:outlineLvl w:val="9"/>
              <w:rPr>
                <w:rFonts w:hint="eastAsia" w:ascii="仿宋" w:hAnsi="仿宋" w:eastAsia="仿宋" w:cs="仿宋"/>
                <w:kern w:val="2"/>
                <w:sz w:val="24"/>
                <w:szCs w:val="24"/>
                <w:lang w:val="en-US" w:eastAsia="zh-CN" w:bidi="ar-SA"/>
              </w:rPr>
            </w:pPr>
            <w:r>
              <w:rPr>
                <w:rFonts w:hint="eastAsia" w:ascii="仿宋" w:hAnsi="仿宋" w:eastAsia="仿宋" w:cs="仿宋"/>
                <w:bCs/>
                <w:kern w:val="0"/>
                <w:sz w:val="24"/>
                <w:szCs w:val="24"/>
              </w:rPr>
              <w:t>云渲染服务器</w:t>
            </w:r>
          </w:p>
        </w:tc>
        <w:tc>
          <w:tcPr>
            <w:tcW w:w="273" w:type="pct"/>
            <w:shd w:val="clear" w:color="auto" w:fill="auto"/>
            <w:vAlign w:val="center"/>
          </w:tcPr>
          <w:p w14:paraId="1562396A">
            <w:pPr>
              <w:keepNext w:val="0"/>
              <w:keepLines w:val="0"/>
              <w:pageBreakBefore w:val="0"/>
              <w:kinsoku/>
              <w:wordWrap/>
              <w:overflowPunct/>
              <w:topLinePunct w:val="0"/>
              <w:autoSpaceDE/>
              <w:autoSpaceDN/>
              <w:bidi w:val="0"/>
              <w:adjustRightInd/>
              <w:snapToGrid/>
              <w:jc w:val="center"/>
              <w:textAlignment w:val="auto"/>
              <w:outlineLvl w:val="9"/>
              <w:rPr>
                <w:rFonts w:hint="eastAsia" w:ascii="仿宋" w:hAnsi="仿宋" w:eastAsia="仿宋" w:cs="仿宋"/>
                <w:kern w:val="2"/>
                <w:sz w:val="24"/>
                <w:szCs w:val="24"/>
                <w:lang w:val="en-US" w:eastAsia="zh-CN" w:bidi="ar-SA"/>
              </w:rPr>
            </w:pPr>
            <w:r>
              <w:rPr>
                <w:rFonts w:hint="eastAsia" w:ascii="仿宋" w:hAnsi="仿宋" w:eastAsia="仿宋" w:cs="仿宋"/>
                <w:sz w:val="24"/>
                <w:szCs w:val="24"/>
              </w:rPr>
              <w:t>1台</w:t>
            </w:r>
          </w:p>
        </w:tc>
        <w:tc>
          <w:tcPr>
            <w:tcW w:w="3914" w:type="pct"/>
            <w:vAlign w:val="center"/>
          </w:tcPr>
          <w:p w14:paraId="71850680">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思腾合力/SITONHOLY IW.4815-8GR机架式服务器/3.6GHz/INTEL酷睿Core i9/8</w:t>
            </w:r>
          </w:p>
          <w:p w14:paraId="17574840">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核/DDR4/512GB/无/无/机架式服务器Nindows/128GB/服务器产品类别：机架式服务器</w:t>
            </w:r>
          </w:p>
          <w:p w14:paraId="0A7B7A86">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电源类型：双电源</w:t>
            </w:r>
          </w:p>
          <w:p w14:paraId="3E180DCB">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RAID方式：无</w:t>
            </w:r>
          </w:p>
          <w:p w14:paraId="3BD5F78B">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操作系统：Windows</w:t>
            </w:r>
          </w:p>
          <w:p w14:paraId="1A865E53">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扩展槽：8</w:t>
            </w:r>
          </w:p>
          <w:p w14:paraId="2FDD4CED">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内存插槽：16个</w:t>
            </w:r>
          </w:p>
          <w:p w14:paraId="57DCF178">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插槽配置说明：PC-E规范双槽尺寸显示加速卡*1每节点</w:t>
            </w:r>
          </w:p>
          <w:p w14:paraId="52286C79">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硬盘容量说明：NVME M.2PCl-EX4接口*1每节点</w:t>
            </w:r>
          </w:p>
          <w:p w14:paraId="73D63CAA">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产品尺寸：720mm*445mm*178mm</w:t>
            </w:r>
          </w:p>
          <w:p w14:paraId="7CE2365F">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网口：8</w:t>
            </w:r>
          </w:p>
          <w:p w14:paraId="0D4CDB04">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内存条数：8</w:t>
            </w:r>
          </w:p>
          <w:p w14:paraId="587AEFB5">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中国国家强制性产品认证证书有效期：2024-02-27</w:t>
            </w:r>
          </w:p>
          <w:p w14:paraId="7F4AE8FD">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CPU类型：INTEL酷睿Core i9</w:t>
            </w:r>
          </w:p>
          <w:p w14:paraId="77D923DF">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CPU型号：酷睿19-9900</w:t>
            </w:r>
          </w:p>
          <w:p w14:paraId="60422CDA">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CPU数量：8颗</w:t>
            </w:r>
          </w:p>
          <w:p w14:paraId="65BF975C">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CPU速度/主频：3.6GHz</w:t>
            </w:r>
          </w:p>
          <w:p w14:paraId="021EA168">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CPU核数：8核</w:t>
            </w:r>
          </w:p>
          <w:p w14:paraId="6C22C55B">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内存容量（单条）：16GB</w:t>
            </w:r>
          </w:p>
          <w:p w14:paraId="0CFA2535">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内存类型：DDR4</w:t>
            </w:r>
          </w:p>
          <w:p w14:paraId="73721115">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内存容量：128GB</w:t>
            </w:r>
          </w:p>
          <w:p w14:paraId="7A06409F">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产品结构：4U</w:t>
            </w:r>
          </w:p>
          <w:p w14:paraId="5CEA067A">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固态硬盘容量（单个）：512GB</w:t>
            </w:r>
          </w:p>
          <w:p w14:paraId="190753C2">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固态硬盘数量：8</w:t>
            </w:r>
          </w:p>
          <w:p w14:paraId="4925005C">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机械硬盘容量（单个）：无</w:t>
            </w:r>
          </w:p>
          <w:p w14:paraId="2B8B9CD2">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机械硬盘数量：0</w:t>
            </w:r>
          </w:p>
          <w:p w14:paraId="260BDE23">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硬盘类型：固态硬盘</w:t>
            </w:r>
          </w:p>
          <w:p w14:paraId="3055A0E2">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固态硬盘容量：512GB</w:t>
            </w:r>
          </w:p>
          <w:p w14:paraId="6009D278">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机械硬盘容量：无</w:t>
            </w:r>
          </w:p>
          <w:p w14:paraId="73DC33A9">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硬盘容量：4T</w:t>
            </w:r>
          </w:p>
          <w:p w14:paraId="61B6D414">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硬盘数量：8</w:t>
            </w:r>
          </w:p>
          <w:p w14:paraId="3DF2DC81">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端口传输速率：1GB</w:t>
            </w:r>
          </w:p>
          <w:p w14:paraId="29022784">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HBA卡端口数量：O</w:t>
            </w:r>
          </w:p>
          <w:p w14:paraId="52B2C6F2">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网卡端口数量：2</w:t>
            </w:r>
          </w:p>
          <w:p w14:paraId="2F872382">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HBA传输速率：0</w:t>
            </w:r>
          </w:p>
          <w:p w14:paraId="6E69F3C9">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电源热插拔：支持</w:t>
            </w:r>
          </w:p>
          <w:p w14:paraId="71BA63BF">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串口数量：0</w:t>
            </w:r>
          </w:p>
          <w:p w14:paraId="16918ECD">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1GB网络端口数量：2</w:t>
            </w:r>
          </w:p>
          <w:p w14:paraId="691FFE0D">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质保期限：3年</w:t>
            </w:r>
          </w:p>
          <w:p w14:paraId="0B621FAD">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10GB网络端口数量：0</w:t>
            </w:r>
          </w:p>
          <w:p w14:paraId="4E65F95A">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USB2.0接口数量：8</w:t>
            </w:r>
          </w:p>
          <w:p w14:paraId="391BD2CE">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VGA接口数量：O</w:t>
            </w:r>
          </w:p>
          <w:p w14:paraId="7B72EBE5">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支持最大处理器数目：0</w:t>
            </w:r>
          </w:p>
          <w:p w14:paraId="02D09FD7">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PC1-E2.0×4插槽数量：0</w:t>
            </w:r>
          </w:p>
          <w:p w14:paraId="1890A119">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PC-E2.0×8插槽数量：0</w:t>
            </w:r>
          </w:p>
          <w:p w14:paraId="7F80F314">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PC1-E2.0×16插槽数量：0</w:t>
            </w:r>
          </w:p>
          <w:p w14:paraId="10FA438D">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PCl-E3.0X4插槽数量：0</w:t>
            </w:r>
          </w:p>
          <w:p w14:paraId="6BFE204F">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PC-E3.0x8插槽数量：8</w:t>
            </w:r>
          </w:p>
          <w:p w14:paraId="0F2A575C">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PCl-E3.0×16插槽数量：8</w:t>
            </w:r>
          </w:p>
          <w:p w14:paraId="6666242F">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电源冗余：支持</w:t>
            </w:r>
          </w:p>
          <w:p w14:paraId="77870F04">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包装清单：有</w:t>
            </w:r>
          </w:p>
          <w:p w14:paraId="1357F488">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中国国家强制性产品认证证书编号：3C</w:t>
            </w:r>
          </w:p>
          <w:p w14:paraId="798554CF">
            <w:pPr>
              <w:keepNext w:val="0"/>
              <w:keepLines w:val="0"/>
              <w:pageBreakBefore w:val="0"/>
              <w:kinsoku/>
              <w:wordWrap/>
              <w:overflowPunct/>
              <w:topLinePunct w:val="0"/>
              <w:autoSpaceDE/>
              <w:autoSpaceDN/>
              <w:bidi w:val="0"/>
              <w:adjustRightInd/>
              <w:snapToGrid/>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售后服务：五年原厂5*24小时</w:t>
            </w:r>
          </w:p>
        </w:tc>
      </w:tr>
    </w:tbl>
    <w:p w14:paraId="4D77D7F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both"/>
        <w:textAlignment w:val="auto"/>
        <w:outlineLvl w:val="9"/>
        <w:rPr>
          <w:rFonts w:hint="eastAsia" w:ascii="仿宋" w:hAnsi="仿宋" w:eastAsia="仿宋" w:cs="仿宋"/>
          <w:b/>
          <w:bCs/>
          <w:sz w:val="24"/>
          <w:szCs w:val="24"/>
          <w:highlight w:val="none"/>
        </w:rPr>
      </w:pPr>
      <w:r>
        <w:rPr>
          <w:rFonts w:hint="eastAsia" w:ascii="仿宋" w:hAnsi="仿宋" w:eastAsia="仿宋" w:cs="仿宋"/>
          <w:b/>
          <w:bCs/>
          <w:i w:val="0"/>
          <w:iCs w:val="0"/>
          <w:caps w:val="0"/>
          <w:color w:val="222222"/>
          <w:spacing w:val="0"/>
          <w:sz w:val="24"/>
          <w:szCs w:val="24"/>
          <w:shd w:val="clear" w:fill="FFFFFF"/>
        </w:rPr>
        <w:t>其</w:t>
      </w:r>
      <w:r>
        <w:rPr>
          <w:rFonts w:hint="eastAsia" w:ascii="仿宋" w:hAnsi="仿宋" w:eastAsia="仿宋" w:cs="仿宋"/>
          <w:b/>
          <w:bCs/>
          <w:i w:val="0"/>
          <w:iCs w:val="0"/>
          <w:caps w:val="0"/>
          <w:color w:val="222222"/>
          <w:spacing w:val="0"/>
          <w:sz w:val="24"/>
          <w:szCs w:val="24"/>
          <w:highlight w:val="none"/>
          <w:shd w:val="clear" w:fill="FFFFFF"/>
        </w:rPr>
        <w:t>他内容不变</w:t>
      </w:r>
    </w:p>
    <w:p w14:paraId="2FCDA66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both"/>
        <w:textAlignment w:val="auto"/>
        <w:outlineLvl w:val="9"/>
        <w:rPr>
          <w:rFonts w:hint="eastAsia" w:ascii="仿宋" w:hAnsi="仿宋" w:eastAsia="仿宋" w:cs="仿宋"/>
          <w:sz w:val="24"/>
          <w:szCs w:val="24"/>
          <w:highlight w:val="none"/>
        </w:rPr>
      </w:pPr>
      <w:r>
        <w:rPr>
          <w:rFonts w:hint="eastAsia" w:ascii="仿宋" w:hAnsi="仿宋" w:eastAsia="仿宋" w:cs="仿宋"/>
          <w:i w:val="0"/>
          <w:iCs w:val="0"/>
          <w:caps w:val="0"/>
          <w:color w:val="222222"/>
          <w:spacing w:val="0"/>
          <w:sz w:val="24"/>
          <w:szCs w:val="24"/>
          <w:highlight w:val="none"/>
          <w:shd w:val="clear" w:fill="FFFFFF"/>
        </w:rPr>
        <w:t>更正日期：2026年</w:t>
      </w:r>
      <w:r>
        <w:rPr>
          <w:rFonts w:hint="eastAsia" w:ascii="仿宋" w:hAnsi="仿宋" w:eastAsia="仿宋" w:cs="仿宋"/>
          <w:i w:val="0"/>
          <w:iCs w:val="0"/>
          <w:caps w:val="0"/>
          <w:color w:val="222222"/>
          <w:spacing w:val="0"/>
          <w:sz w:val="24"/>
          <w:szCs w:val="24"/>
          <w:highlight w:val="none"/>
          <w:shd w:val="clear" w:fill="FFFFFF"/>
          <w:lang w:val="en-US" w:eastAsia="zh-CN"/>
        </w:rPr>
        <w:t>10</w:t>
      </w:r>
      <w:r>
        <w:rPr>
          <w:rFonts w:hint="eastAsia" w:ascii="仿宋" w:hAnsi="仿宋" w:eastAsia="仿宋" w:cs="仿宋"/>
          <w:i w:val="0"/>
          <w:iCs w:val="0"/>
          <w:caps w:val="0"/>
          <w:color w:val="222222"/>
          <w:spacing w:val="0"/>
          <w:sz w:val="24"/>
          <w:szCs w:val="24"/>
          <w:highlight w:val="none"/>
          <w:shd w:val="clear" w:fill="FFFFFF"/>
        </w:rPr>
        <w:t>月</w:t>
      </w:r>
      <w:r>
        <w:rPr>
          <w:rFonts w:hint="eastAsia" w:ascii="仿宋" w:hAnsi="仿宋" w:eastAsia="仿宋" w:cs="仿宋"/>
          <w:i w:val="0"/>
          <w:iCs w:val="0"/>
          <w:caps w:val="0"/>
          <w:color w:val="222222"/>
          <w:spacing w:val="0"/>
          <w:sz w:val="24"/>
          <w:szCs w:val="24"/>
          <w:highlight w:val="none"/>
          <w:shd w:val="clear" w:fill="FFFFFF"/>
          <w:lang w:val="en-US" w:eastAsia="zh-CN"/>
        </w:rPr>
        <w:t>21</w:t>
      </w:r>
      <w:r>
        <w:rPr>
          <w:rFonts w:hint="eastAsia" w:ascii="仿宋" w:hAnsi="仿宋" w:eastAsia="仿宋" w:cs="仿宋"/>
          <w:i w:val="0"/>
          <w:iCs w:val="0"/>
          <w:caps w:val="0"/>
          <w:color w:val="222222"/>
          <w:spacing w:val="0"/>
          <w:sz w:val="24"/>
          <w:szCs w:val="24"/>
          <w:highlight w:val="none"/>
          <w:shd w:val="clear" w:fill="FFFFFF"/>
        </w:rPr>
        <w:t>日</w:t>
      </w:r>
    </w:p>
    <w:p w14:paraId="5B26F10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0"/>
        <w:jc w:val="left"/>
        <w:textAlignment w:val="auto"/>
        <w:outlineLvl w:val="9"/>
        <w:rPr>
          <w:rFonts w:hint="eastAsia" w:ascii="仿宋" w:hAnsi="仿宋" w:eastAsia="仿宋" w:cs="仿宋"/>
          <w:b w:val="0"/>
          <w:bCs w:val="0"/>
          <w:i w:val="0"/>
          <w:iCs w:val="0"/>
          <w:caps w:val="0"/>
          <w:color w:val="222222"/>
          <w:spacing w:val="0"/>
          <w:sz w:val="24"/>
          <w:szCs w:val="24"/>
          <w:highlight w:val="none"/>
        </w:rPr>
      </w:pPr>
      <w:r>
        <w:rPr>
          <w:rStyle w:val="8"/>
          <w:rFonts w:hint="eastAsia" w:ascii="仿宋" w:hAnsi="仿宋" w:eastAsia="仿宋" w:cs="仿宋"/>
          <w:b/>
          <w:bCs/>
          <w:i w:val="0"/>
          <w:iCs w:val="0"/>
          <w:caps w:val="0"/>
          <w:color w:val="222222"/>
          <w:spacing w:val="0"/>
          <w:sz w:val="24"/>
          <w:szCs w:val="24"/>
          <w:highlight w:val="none"/>
          <w:shd w:val="clear" w:fill="FFFFFF"/>
        </w:rPr>
        <w:t>三、其他补充事项</w:t>
      </w:r>
    </w:p>
    <w:p w14:paraId="4223800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both"/>
        <w:textAlignment w:val="auto"/>
        <w:outlineLvl w:val="9"/>
        <w:rPr>
          <w:rFonts w:hint="eastAsia" w:ascii="仿宋" w:hAnsi="仿宋" w:eastAsia="仿宋" w:cs="仿宋"/>
          <w:i w:val="0"/>
          <w:iCs w:val="0"/>
          <w:caps w:val="0"/>
          <w:color w:val="222222"/>
          <w:spacing w:val="0"/>
          <w:sz w:val="24"/>
          <w:szCs w:val="24"/>
          <w:shd w:val="clear" w:fill="FFFFFF"/>
        </w:rPr>
      </w:pPr>
      <w:r>
        <w:rPr>
          <w:rFonts w:hint="eastAsia" w:ascii="仿宋" w:hAnsi="仿宋" w:eastAsia="仿宋" w:cs="仿宋"/>
          <w:i w:val="0"/>
          <w:iCs w:val="0"/>
          <w:caps w:val="0"/>
          <w:color w:val="222222"/>
          <w:spacing w:val="0"/>
          <w:sz w:val="24"/>
          <w:szCs w:val="24"/>
          <w:highlight w:val="none"/>
          <w:shd w:val="clear" w:fill="FFFFFF"/>
        </w:rPr>
        <w:t>招标公告及招标文件中涉及以上更正公告</w:t>
      </w:r>
      <w:r>
        <w:rPr>
          <w:rFonts w:hint="eastAsia" w:ascii="仿宋" w:hAnsi="仿宋" w:eastAsia="仿宋" w:cs="仿宋"/>
          <w:i w:val="0"/>
          <w:iCs w:val="0"/>
          <w:caps w:val="0"/>
          <w:color w:val="222222"/>
          <w:spacing w:val="0"/>
          <w:sz w:val="24"/>
          <w:szCs w:val="24"/>
          <w:shd w:val="clear" w:fill="FFFFFF"/>
        </w:rPr>
        <w:t>内容的地方均作相应变更。以上更正公告内容为招标文件的组成部分，对各投标人均具有约束力，其他事项均按招标文件规定执行。本次更正公告内容有针对招标文件部分内容进行修改，各潜在投标人需要重新通过投标客户端制作投标文件。</w:t>
      </w:r>
      <w:bookmarkStart w:id="0" w:name="_GoBack"/>
      <w:bookmarkEnd w:id="0"/>
    </w:p>
    <w:p w14:paraId="6623159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0"/>
        <w:jc w:val="left"/>
        <w:textAlignment w:val="auto"/>
        <w:outlineLvl w:val="9"/>
        <w:rPr>
          <w:rFonts w:hint="eastAsia" w:ascii="仿宋" w:hAnsi="仿宋" w:eastAsia="仿宋" w:cs="仿宋"/>
          <w:b w:val="0"/>
          <w:bCs w:val="0"/>
          <w:i w:val="0"/>
          <w:iCs w:val="0"/>
          <w:caps w:val="0"/>
          <w:color w:val="222222"/>
          <w:spacing w:val="0"/>
          <w:sz w:val="24"/>
          <w:szCs w:val="24"/>
        </w:rPr>
      </w:pPr>
      <w:r>
        <w:rPr>
          <w:rStyle w:val="8"/>
          <w:rFonts w:hint="eastAsia" w:ascii="仿宋" w:hAnsi="仿宋" w:eastAsia="仿宋" w:cs="仿宋"/>
          <w:b/>
          <w:bCs/>
          <w:i w:val="0"/>
          <w:iCs w:val="0"/>
          <w:caps w:val="0"/>
          <w:color w:val="222222"/>
          <w:spacing w:val="0"/>
          <w:sz w:val="24"/>
          <w:szCs w:val="24"/>
          <w:shd w:val="clear" w:fill="FFFFFF"/>
        </w:rPr>
        <w:t>四、凡对本次公告内容提出询问，请按以下方式联系。</w:t>
      </w:r>
    </w:p>
    <w:p w14:paraId="2C3977B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outlineLvl w:val="9"/>
        <w:rPr>
          <w:rFonts w:hint="eastAsia" w:ascii="仿宋" w:hAnsi="仿宋" w:eastAsia="仿宋" w:cs="仿宋"/>
          <w:b w:val="0"/>
          <w:bCs w:val="0"/>
          <w:sz w:val="24"/>
          <w:szCs w:val="24"/>
        </w:rPr>
      </w:pPr>
      <w:r>
        <w:rPr>
          <w:rFonts w:hint="eastAsia" w:ascii="仿宋" w:hAnsi="仿宋" w:eastAsia="仿宋" w:cs="仿宋"/>
          <w:b w:val="0"/>
          <w:bCs w:val="0"/>
          <w:i w:val="0"/>
          <w:iCs w:val="0"/>
          <w:caps w:val="0"/>
          <w:color w:val="222222"/>
          <w:spacing w:val="0"/>
          <w:sz w:val="24"/>
          <w:szCs w:val="24"/>
          <w:shd w:val="clear" w:fill="FFFFFF"/>
        </w:rPr>
        <w:t>1.采购人信息</w:t>
      </w:r>
    </w:p>
    <w:p w14:paraId="43CBC2B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both"/>
        <w:textAlignment w:val="auto"/>
        <w:outlineLvl w:val="9"/>
        <w:rPr>
          <w:rFonts w:hint="eastAsia" w:ascii="仿宋" w:hAnsi="仿宋" w:eastAsia="仿宋" w:cs="仿宋"/>
          <w:sz w:val="24"/>
          <w:szCs w:val="24"/>
        </w:rPr>
      </w:pPr>
      <w:r>
        <w:rPr>
          <w:rFonts w:hint="eastAsia" w:ascii="仿宋" w:hAnsi="仿宋" w:eastAsia="仿宋" w:cs="仿宋"/>
          <w:i w:val="0"/>
          <w:iCs w:val="0"/>
          <w:caps w:val="0"/>
          <w:color w:val="222222"/>
          <w:spacing w:val="0"/>
          <w:sz w:val="24"/>
          <w:szCs w:val="24"/>
          <w:shd w:val="clear" w:fill="FFFFFF"/>
        </w:rPr>
        <w:t>名称：福州职业技术学院</w:t>
      </w:r>
    </w:p>
    <w:p w14:paraId="11B92E4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both"/>
        <w:textAlignment w:val="auto"/>
        <w:outlineLvl w:val="9"/>
        <w:rPr>
          <w:rFonts w:hint="eastAsia" w:ascii="仿宋" w:hAnsi="仿宋" w:eastAsia="仿宋" w:cs="仿宋"/>
          <w:sz w:val="24"/>
          <w:szCs w:val="24"/>
        </w:rPr>
      </w:pPr>
      <w:r>
        <w:rPr>
          <w:rFonts w:hint="eastAsia" w:ascii="仿宋" w:hAnsi="仿宋" w:eastAsia="仿宋" w:cs="仿宋"/>
          <w:i w:val="0"/>
          <w:iCs w:val="0"/>
          <w:caps w:val="0"/>
          <w:color w:val="222222"/>
          <w:spacing w:val="0"/>
          <w:sz w:val="24"/>
          <w:szCs w:val="24"/>
          <w:shd w:val="clear" w:fill="FFFFFF"/>
        </w:rPr>
        <w:t>地址：福州市闽侯上街联榕路8号</w:t>
      </w:r>
    </w:p>
    <w:p w14:paraId="35C7FDD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both"/>
        <w:textAlignment w:val="auto"/>
        <w:outlineLvl w:val="9"/>
        <w:rPr>
          <w:rFonts w:hint="eastAsia" w:ascii="仿宋" w:hAnsi="仿宋" w:eastAsia="仿宋" w:cs="仿宋"/>
          <w:sz w:val="24"/>
          <w:szCs w:val="24"/>
        </w:rPr>
      </w:pPr>
      <w:r>
        <w:rPr>
          <w:rFonts w:hint="eastAsia" w:ascii="仿宋" w:hAnsi="仿宋" w:eastAsia="仿宋" w:cs="仿宋"/>
          <w:i w:val="0"/>
          <w:iCs w:val="0"/>
          <w:caps w:val="0"/>
          <w:color w:val="222222"/>
          <w:spacing w:val="0"/>
          <w:sz w:val="24"/>
          <w:szCs w:val="24"/>
          <w:shd w:val="clear" w:fill="FFFFFF"/>
        </w:rPr>
        <w:t>联系方式：0591-83760305</w:t>
      </w:r>
    </w:p>
    <w:p w14:paraId="75928B7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outlineLvl w:val="9"/>
        <w:rPr>
          <w:rFonts w:hint="eastAsia" w:ascii="仿宋" w:hAnsi="仿宋" w:eastAsia="仿宋" w:cs="仿宋"/>
          <w:b w:val="0"/>
          <w:bCs w:val="0"/>
          <w:sz w:val="24"/>
          <w:szCs w:val="24"/>
        </w:rPr>
      </w:pPr>
      <w:r>
        <w:rPr>
          <w:rFonts w:hint="eastAsia" w:ascii="仿宋" w:hAnsi="仿宋" w:eastAsia="仿宋" w:cs="仿宋"/>
          <w:b w:val="0"/>
          <w:bCs w:val="0"/>
          <w:i w:val="0"/>
          <w:iCs w:val="0"/>
          <w:caps w:val="0"/>
          <w:color w:val="222222"/>
          <w:spacing w:val="0"/>
          <w:sz w:val="24"/>
          <w:szCs w:val="24"/>
          <w:shd w:val="clear" w:fill="FFFFFF"/>
        </w:rPr>
        <w:t>2.采购代理机构信息</w:t>
      </w:r>
    </w:p>
    <w:p w14:paraId="077A579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both"/>
        <w:textAlignment w:val="auto"/>
        <w:outlineLvl w:val="9"/>
        <w:rPr>
          <w:rFonts w:hint="eastAsia" w:ascii="仿宋" w:hAnsi="仿宋" w:eastAsia="仿宋" w:cs="仿宋"/>
          <w:sz w:val="24"/>
          <w:szCs w:val="24"/>
        </w:rPr>
      </w:pPr>
      <w:r>
        <w:rPr>
          <w:rFonts w:hint="eastAsia" w:ascii="仿宋" w:hAnsi="仿宋" w:eastAsia="仿宋" w:cs="仿宋"/>
          <w:i w:val="0"/>
          <w:iCs w:val="0"/>
          <w:caps w:val="0"/>
          <w:color w:val="222222"/>
          <w:spacing w:val="0"/>
          <w:sz w:val="24"/>
          <w:szCs w:val="24"/>
          <w:shd w:val="clear" w:fill="FFFFFF"/>
        </w:rPr>
        <w:t>名称：福建火山项目管理有限公司</w:t>
      </w:r>
    </w:p>
    <w:p w14:paraId="4170C3C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both"/>
        <w:textAlignment w:val="auto"/>
        <w:outlineLvl w:val="9"/>
        <w:rPr>
          <w:rFonts w:hint="eastAsia" w:ascii="仿宋" w:hAnsi="仿宋" w:eastAsia="仿宋" w:cs="仿宋"/>
          <w:sz w:val="24"/>
          <w:szCs w:val="24"/>
        </w:rPr>
      </w:pPr>
      <w:r>
        <w:rPr>
          <w:rFonts w:hint="eastAsia" w:ascii="仿宋" w:hAnsi="仿宋" w:eastAsia="仿宋" w:cs="仿宋"/>
          <w:i w:val="0"/>
          <w:iCs w:val="0"/>
          <w:caps w:val="0"/>
          <w:color w:val="222222"/>
          <w:spacing w:val="0"/>
          <w:sz w:val="24"/>
          <w:szCs w:val="24"/>
          <w:shd w:val="clear" w:fill="FFFFFF"/>
        </w:rPr>
        <w:t>地址：福建省福州市晋安区王庄街道福新中路75号永同昌大厦11层05、06室</w:t>
      </w:r>
    </w:p>
    <w:p w14:paraId="23E1845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both"/>
        <w:textAlignment w:val="auto"/>
        <w:outlineLvl w:val="9"/>
        <w:rPr>
          <w:rFonts w:hint="eastAsia" w:ascii="仿宋" w:hAnsi="仿宋" w:eastAsia="仿宋" w:cs="仿宋"/>
          <w:sz w:val="24"/>
          <w:szCs w:val="24"/>
        </w:rPr>
      </w:pPr>
      <w:r>
        <w:rPr>
          <w:rFonts w:hint="eastAsia" w:ascii="仿宋" w:hAnsi="仿宋" w:eastAsia="仿宋" w:cs="仿宋"/>
          <w:i w:val="0"/>
          <w:iCs w:val="0"/>
          <w:caps w:val="0"/>
          <w:color w:val="222222"/>
          <w:spacing w:val="0"/>
          <w:sz w:val="24"/>
          <w:szCs w:val="24"/>
          <w:shd w:val="clear" w:fill="FFFFFF"/>
        </w:rPr>
        <w:t>联系方式：0591-83666679</w:t>
      </w:r>
    </w:p>
    <w:p w14:paraId="6178268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outlineLvl w:val="9"/>
        <w:rPr>
          <w:rFonts w:hint="eastAsia" w:ascii="仿宋" w:hAnsi="仿宋" w:eastAsia="仿宋" w:cs="仿宋"/>
          <w:b w:val="0"/>
          <w:bCs w:val="0"/>
          <w:sz w:val="24"/>
          <w:szCs w:val="24"/>
        </w:rPr>
      </w:pPr>
      <w:r>
        <w:rPr>
          <w:rFonts w:hint="eastAsia" w:ascii="仿宋" w:hAnsi="仿宋" w:eastAsia="仿宋" w:cs="仿宋"/>
          <w:b w:val="0"/>
          <w:bCs w:val="0"/>
          <w:i w:val="0"/>
          <w:iCs w:val="0"/>
          <w:caps w:val="0"/>
          <w:color w:val="222222"/>
          <w:spacing w:val="0"/>
          <w:sz w:val="24"/>
          <w:szCs w:val="24"/>
          <w:shd w:val="clear" w:fill="FFFFFF"/>
        </w:rPr>
        <w:t>3.项目联系方式</w:t>
      </w:r>
    </w:p>
    <w:p w14:paraId="5022F81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both"/>
        <w:textAlignment w:val="auto"/>
        <w:outlineLvl w:val="9"/>
        <w:rPr>
          <w:rFonts w:hint="eastAsia" w:ascii="仿宋" w:hAnsi="仿宋" w:eastAsia="仿宋" w:cs="仿宋"/>
          <w:sz w:val="24"/>
          <w:szCs w:val="24"/>
        </w:rPr>
      </w:pPr>
      <w:r>
        <w:rPr>
          <w:rFonts w:hint="eastAsia" w:ascii="仿宋" w:hAnsi="仿宋" w:eastAsia="仿宋" w:cs="仿宋"/>
          <w:i w:val="0"/>
          <w:iCs w:val="0"/>
          <w:caps w:val="0"/>
          <w:color w:val="222222"/>
          <w:spacing w:val="0"/>
          <w:sz w:val="24"/>
          <w:szCs w:val="24"/>
          <w:shd w:val="clear" w:fill="FFFFFF"/>
        </w:rPr>
        <w:t>项目联系人：林鹭、何丹萍、林龙宇、许灿军</w:t>
      </w:r>
    </w:p>
    <w:p w14:paraId="123F5FE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both"/>
        <w:textAlignment w:val="auto"/>
        <w:outlineLvl w:val="9"/>
        <w:rPr>
          <w:rFonts w:hint="eastAsia" w:ascii="仿宋" w:hAnsi="仿宋" w:eastAsia="仿宋" w:cs="仿宋"/>
          <w:sz w:val="24"/>
          <w:szCs w:val="24"/>
          <w:highlight w:val="none"/>
        </w:rPr>
      </w:pPr>
      <w:r>
        <w:rPr>
          <w:rFonts w:hint="eastAsia" w:ascii="仿宋" w:hAnsi="仿宋" w:eastAsia="仿宋" w:cs="仿宋"/>
          <w:i w:val="0"/>
          <w:iCs w:val="0"/>
          <w:caps w:val="0"/>
          <w:color w:val="222222"/>
          <w:spacing w:val="0"/>
          <w:sz w:val="24"/>
          <w:szCs w:val="24"/>
          <w:shd w:val="clear" w:fill="FFFFFF"/>
        </w:rPr>
        <w:t>电话：0591-83666679</w:t>
      </w:r>
    </w:p>
    <w:p w14:paraId="295F5BB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80"/>
        <w:jc w:val="right"/>
        <w:textAlignment w:val="auto"/>
        <w:outlineLvl w:val="9"/>
        <w:rPr>
          <w:rFonts w:hint="eastAsia" w:ascii="仿宋" w:hAnsi="仿宋" w:eastAsia="仿宋" w:cs="仿宋"/>
          <w:i w:val="0"/>
          <w:iCs w:val="0"/>
          <w:caps w:val="0"/>
          <w:color w:val="222222"/>
          <w:spacing w:val="0"/>
          <w:sz w:val="24"/>
          <w:szCs w:val="24"/>
          <w:highlight w:val="none"/>
        </w:rPr>
      </w:pPr>
      <w:r>
        <w:rPr>
          <w:rFonts w:hint="eastAsia" w:ascii="仿宋" w:hAnsi="仿宋" w:eastAsia="仿宋" w:cs="仿宋"/>
          <w:i w:val="0"/>
          <w:iCs w:val="0"/>
          <w:caps w:val="0"/>
          <w:color w:val="222222"/>
          <w:spacing w:val="0"/>
          <w:sz w:val="24"/>
          <w:szCs w:val="24"/>
          <w:highlight w:val="none"/>
          <w:shd w:val="clear" w:fill="FFFFFF"/>
        </w:rPr>
        <w:t>福建火山项目管理有限公司</w:t>
      </w:r>
    </w:p>
    <w:p w14:paraId="79B85CC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80"/>
        <w:jc w:val="right"/>
        <w:textAlignment w:val="auto"/>
        <w:outlineLvl w:val="9"/>
        <w:rPr>
          <w:rFonts w:hint="eastAsia" w:ascii="仿宋" w:hAnsi="仿宋" w:eastAsia="仿宋" w:cs="仿宋"/>
          <w:i w:val="0"/>
          <w:iCs w:val="0"/>
          <w:caps w:val="0"/>
          <w:color w:val="222222"/>
          <w:spacing w:val="0"/>
          <w:sz w:val="24"/>
          <w:szCs w:val="24"/>
          <w:highlight w:val="none"/>
        </w:rPr>
      </w:pPr>
      <w:r>
        <w:rPr>
          <w:rFonts w:hint="eastAsia" w:ascii="仿宋" w:hAnsi="仿宋" w:eastAsia="仿宋" w:cs="仿宋"/>
          <w:i w:val="0"/>
          <w:iCs w:val="0"/>
          <w:caps w:val="0"/>
          <w:color w:val="222222"/>
          <w:spacing w:val="0"/>
          <w:sz w:val="24"/>
          <w:szCs w:val="24"/>
          <w:highlight w:val="none"/>
          <w:shd w:val="clear" w:fill="FFFFFF"/>
        </w:rPr>
        <w:t>2026年</w:t>
      </w:r>
      <w:r>
        <w:rPr>
          <w:rFonts w:hint="eastAsia" w:ascii="仿宋" w:hAnsi="仿宋" w:eastAsia="仿宋" w:cs="仿宋"/>
          <w:i w:val="0"/>
          <w:iCs w:val="0"/>
          <w:caps w:val="0"/>
          <w:color w:val="222222"/>
          <w:spacing w:val="0"/>
          <w:sz w:val="24"/>
          <w:szCs w:val="24"/>
          <w:highlight w:val="none"/>
          <w:shd w:val="clear" w:fill="FFFFFF"/>
          <w:lang w:val="en-US" w:eastAsia="zh-CN"/>
        </w:rPr>
        <w:t>10</w:t>
      </w:r>
      <w:r>
        <w:rPr>
          <w:rFonts w:hint="eastAsia" w:ascii="仿宋" w:hAnsi="仿宋" w:eastAsia="仿宋" w:cs="仿宋"/>
          <w:i w:val="0"/>
          <w:iCs w:val="0"/>
          <w:caps w:val="0"/>
          <w:color w:val="222222"/>
          <w:spacing w:val="0"/>
          <w:sz w:val="24"/>
          <w:szCs w:val="24"/>
          <w:highlight w:val="none"/>
          <w:shd w:val="clear" w:fill="FFFFFF"/>
        </w:rPr>
        <w:t>月</w:t>
      </w:r>
      <w:r>
        <w:rPr>
          <w:rFonts w:hint="eastAsia" w:ascii="仿宋" w:hAnsi="仿宋" w:eastAsia="仿宋" w:cs="仿宋"/>
          <w:i w:val="0"/>
          <w:iCs w:val="0"/>
          <w:caps w:val="0"/>
          <w:color w:val="222222"/>
          <w:spacing w:val="0"/>
          <w:sz w:val="24"/>
          <w:szCs w:val="24"/>
          <w:highlight w:val="none"/>
          <w:shd w:val="clear" w:fill="FFFFFF"/>
          <w:lang w:val="en-US" w:eastAsia="zh-CN"/>
        </w:rPr>
        <w:t>21</w:t>
      </w:r>
      <w:r>
        <w:rPr>
          <w:rFonts w:hint="eastAsia" w:ascii="仿宋" w:hAnsi="仿宋" w:eastAsia="仿宋" w:cs="仿宋"/>
          <w:i w:val="0"/>
          <w:iCs w:val="0"/>
          <w:caps w:val="0"/>
          <w:color w:val="222222"/>
          <w:spacing w:val="0"/>
          <w:sz w:val="24"/>
          <w:szCs w:val="24"/>
          <w:highlight w:val="none"/>
          <w:shd w:val="clear" w:fill="FFFFFF"/>
        </w:rPr>
        <w:t>日</w:t>
      </w:r>
    </w:p>
    <w:p w14:paraId="0220FD8E">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仿宋" w:hAnsi="仿宋" w:eastAsia="仿宋" w:cs="仿宋"/>
          <w:i w:val="0"/>
          <w:iCs w:val="0"/>
          <w:caps w:val="0"/>
          <w:color w:val="auto"/>
          <w:spacing w:val="0"/>
          <w:sz w:val="24"/>
          <w:szCs w:val="24"/>
          <w:highlight w:val="none"/>
          <w:shd w:val="clear" w:fill="FFFFFF"/>
        </w:rPr>
      </w:pPr>
    </w:p>
    <w:p w14:paraId="02AF99E5">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仿宋" w:hAnsi="仿宋" w:eastAsia="仿宋" w:cs="仿宋"/>
          <w:i w:val="0"/>
          <w:iCs w:val="0"/>
          <w:caps w:val="0"/>
          <w:color w:val="auto"/>
          <w:spacing w:val="0"/>
          <w:sz w:val="24"/>
          <w:szCs w:val="24"/>
          <w:highlight w:val="none"/>
          <w:shd w:val="clear" w:fill="FFFFFF"/>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1E6369"/>
    <w:rsid w:val="0D42008F"/>
    <w:rsid w:val="107B37CD"/>
    <w:rsid w:val="161A7CC6"/>
    <w:rsid w:val="16F72C63"/>
    <w:rsid w:val="188427E3"/>
    <w:rsid w:val="1E2930EA"/>
    <w:rsid w:val="1F7B648C"/>
    <w:rsid w:val="2CCB6BE6"/>
    <w:rsid w:val="2EF23114"/>
    <w:rsid w:val="3195334D"/>
    <w:rsid w:val="347436ED"/>
    <w:rsid w:val="39D456EA"/>
    <w:rsid w:val="3A414072"/>
    <w:rsid w:val="44327045"/>
    <w:rsid w:val="49ED7C34"/>
    <w:rsid w:val="4F3906F2"/>
    <w:rsid w:val="52157E66"/>
    <w:rsid w:val="62602F28"/>
    <w:rsid w:val="78BA12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3">
    <w:name w:val="heading 6"/>
    <w:basedOn w:val="1"/>
    <w:next w:val="1"/>
    <w:semiHidden/>
    <w:unhideWhenUsed/>
    <w:qFormat/>
    <w:uiPriority w:val="0"/>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paragraph" w:customStyle="1" w:styleId="9">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2119</Words>
  <Characters>2559</Characters>
  <Lines>0</Lines>
  <Paragraphs>0</Paragraphs>
  <TotalTime>13</TotalTime>
  <ScaleCrop>false</ScaleCrop>
  <LinksUpToDate>false</LinksUpToDate>
  <CharactersWithSpaces>2651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2026-09-15T09:12:00Z</dcterms:created>
  <dc:creator>s'd</dc:creator>
  <cp:lastModifiedBy>L</cp:lastModifiedBy>
  <dcterms:modified xsi:type="dcterms:W3CDTF">2026-10-21T03:34:56Z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eyJoZGlkIjoiZTEzZTQyYTIzZTVhN2UwNWE1OTRlYjIyODBlMmEwYTIiLCJ1c2VySWQiOiIyMDgwMDM0NDYifQ==</vt:lpwstr>
  </property>
  <property fmtid="{D5CDD505-2E9C-101B-9397-08002B2CF9AE}" pid="4" name="ICV">
    <vt:lpwstr>1A2F12523CA24837A2D4A7C5E892079B_12</vt:lpwstr>
  </property>
</Properties>
</file>