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78F70">
      <w:pPr>
        <w:widowControl/>
        <w:spacing w:before="100" w:beforeAutospacing="1" w:after="240"/>
        <w:jc w:val="center"/>
        <w:rPr>
          <w:rFonts w:cs="宋体" w:asciiTheme="minorEastAsia" w:hAnsiTheme="minorEastAsia"/>
          <w:kern w:val="0"/>
          <w:sz w:val="30"/>
          <w:szCs w:val="30"/>
        </w:rPr>
      </w:pPr>
      <w:r>
        <w:rPr>
          <w:rFonts w:hint="eastAsia" w:ascii="黑体" w:hAnsi="黑体" w:eastAsia="黑体" w:cs="宋体"/>
          <w:bCs/>
          <w:kern w:val="0"/>
          <w:sz w:val="30"/>
          <w:szCs w:val="30"/>
        </w:rPr>
        <w:t>福州职业技术大学专业动态调整管理评价服务项目结果</w:t>
      </w:r>
      <w:r>
        <w:rPr>
          <w:rFonts w:ascii="黑体" w:hAnsi="黑体" w:eastAsia="黑体" w:cs="宋体"/>
          <w:bCs/>
          <w:kern w:val="0"/>
          <w:sz w:val="30"/>
          <w:szCs w:val="30"/>
        </w:rPr>
        <w:t>公告</w:t>
      </w:r>
    </w:p>
    <w:p w14:paraId="74BE7707">
      <w:pPr>
        <w:widowControl/>
        <w:spacing w:line="460" w:lineRule="exact"/>
        <w:jc w:val="left"/>
        <w:rPr>
          <w:rFonts w:cs="宋体" w:asciiTheme="minorEastAsia" w:hAnsiTheme="minorEastAsia"/>
          <w:kern w:val="0"/>
          <w:sz w:val="24"/>
          <w:szCs w:val="24"/>
        </w:rPr>
      </w:pPr>
      <w:r>
        <w:rPr>
          <w:rFonts w:cs="宋体" w:asciiTheme="minorEastAsia" w:hAnsiTheme="minorEastAsia"/>
          <w:bCs/>
          <w:kern w:val="0"/>
          <w:sz w:val="24"/>
          <w:szCs w:val="24"/>
        </w:rPr>
        <w:t>一、项目编号：</w:t>
      </w:r>
      <w:r>
        <w:rPr>
          <w:rFonts w:ascii="宋体" w:hAnsi="宋体" w:cs="宋体"/>
          <w:color w:val="222222"/>
          <w:kern w:val="0"/>
          <w:sz w:val="24"/>
        </w:rPr>
        <w:t>FJGC-FS-D-2026-138</w:t>
      </w:r>
      <w:r>
        <w:rPr>
          <w:rFonts w:hint="eastAsia" w:ascii="宋体" w:hAnsi="宋体"/>
          <w:sz w:val="24"/>
        </w:rPr>
        <w:t xml:space="preserve"> </w:t>
      </w:r>
    </w:p>
    <w:p w14:paraId="3371193B">
      <w:pPr>
        <w:widowControl/>
        <w:spacing w:line="460" w:lineRule="exact"/>
        <w:jc w:val="left"/>
        <w:rPr>
          <w:rFonts w:cs="宋体" w:asciiTheme="minorEastAsia" w:hAnsiTheme="minorEastAsia"/>
          <w:kern w:val="0"/>
          <w:sz w:val="24"/>
          <w:szCs w:val="24"/>
        </w:rPr>
      </w:pPr>
      <w:r>
        <w:rPr>
          <w:rFonts w:cs="宋体" w:asciiTheme="minorEastAsia" w:hAnsiTheme="minorEastAsia"/>
          <w:bCs/>
          <w:kern w:val="0"/>
          <w:sz w:val="24"/>
          <w:szCs w:val="24"/>
        </w:rPr>
        <w:t>二、项目名称：</w:t>
      </w:r>
      <w:r>
        <w:rPr>
          <w:rFonts w:hint="eastAsia" w:ascii="宋体" w:hAnsi="宋体" w:cs="宋体"/>
          <w:color w:val="222222"/>
          <w:kern w:val="0"/>
          <w:sz w:val="24"/>
        </w:rPr>
        <w:t>福州职业技术大学专业动态调整管理评价服务项目</w:t>
      </w:r>
    </w:p>
    <w:p w14:paraId="120B8E8F">
      <w:pPr>
        <w:widowControl/>
        <w:spacing w:line="460" w:lineRule="exact"/>
        <w:jc w:val="left"/>
        <w:rPr>
          <w:rFonts w:cs="宋体" w:asciiTheme="minorEastAsia" w:hAnsiTheme="minorEastAsia"/>
          <w:bCs/>
          <w:kern w:val="0"/>
          <w:sz w:val="24"/>
          <w:szCs w:val="24"/>
        </w:rPr>
      </w:pPr>
      <w:r>
        <w:rPr>
          <w:rFonts w:cs="宋体" w:asciiTheme="minorEastAsia" w:hAnsiTheme="minorEastAsia"/>
          <w:bCs/>
          <w:kern w:val="0"/>
          <w:sz w:val="24"/>
          <w:szCs w:val="24"/>
        </w:rPr>
        <w:t>三、采购结果</w:t>
      </w:r>
    </w:p>
    <w:p w14:paraId="7B481EF4">
      <w:pPr>
        <w:widowControl/>
        <w:shd w:val="clear" w:color="auto" w:fill="FFFFFF"/>
        <w:spacing w:line="460" w:lineRule="exact"/>
        <w:jc w:val="left"/>
        <w:rPr>
          <w:rFonts w:ascii="宋体" w:hAnsi="宋体" w:cs="宋体"/>
          <w:kern w:val="0"/>
          <w:sz w:val="24"/>
        </w:rPr>
      </w:pPr>
      <w:r>
        <w:rPr>
          <w:rFonts w:hint="eastAsia" w:cs="宋体" w:asciiTheme="majorEastAsia" w:hAnsiTheme="majorEastAsia" w:eastAsiaTheme="majorEastAsia"/>
          <w:kern w:val="0"/>
          <w:sz w:val="24"/>
          <w:szCs w:val="24"/>
        </w:rPr>
        <w:t>供应商名称：</w:t>
      </w:r>
      <w:r>
        <w:rPr>
          <w:rFonts w:hint="eastAsia" w:ascii="宋体" w:hAnsi="宋体" w:cs="宋体"/>
          <w:kern w:val="0"/>
          <w:sz w:val="24"/>
        </w:rPr>
        <w:t>福建省教育评估研究中心</w:t>
      </w:r>
    </w:p>
    <w:p w14:paraId="09D4DD82">
      <w:pPr>
        <w:widowControl/>
        <w:shd w:val="clear" w:color="auto" w:fill="FFFFFF"/>
        <w:spacing w:line="460" w:lineRule="exact"/>
        <w:jc w:val="left"/>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供应商地址：福州市鼓屏路162号省教育厅办公楼</w:t>
      </w:r>
    </w:p>
    <w:p w14:paraId="4343EFC1">
      <w:pPr>
        <w:widowControl/>
        <w:spacing w:line="460" w:lineRule="exact"/>
        <w:jc w:val="left"/>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中标(成交)金额：</w:t>
      </w:r>
      <w:r>
        <w:rPr>
          <w:rFonts w:hint="eastAsia" w:ascii="宋体" w:hAnsi="宋体" w:eastAsiaTheme="majorEastAsia"/>
          <w:bCs/>
          <w:sz w:val="24"/>
        </w:rPr>
        <w:t>28.4</w:t>
      </w:r>
      <w:r>
        <w:rPr>
          <w:rFonts w:hint="eastAsia" w:cs="宋体" w:asciiTheme="majorEastAsia" w:hAnsiTheme="majorEastAsia" w:eastAsiaTheme="majorEastAsia"/>
          <w:kern w:val="0"/>
          <w:sz w:val="24"/>
          <w:szCs w:val="24"/>
        </w:rPr>
        <w:t>(万元)</w:t>
      </w:r>
    </w:p>
    <w:p w14:paraId="041176D5">
      <w:pPr>
        <w:widowControl/>
        <w:spacing w:line="460" w:lineRule="exact"/>
        <w:jc w:val="left"/>
        <w:rPr>
          <w:rFonts w:cs="宋体" w:asciiTheme="minorEastAsia" w:hAnsiTheme="minorEastAsia"/>
          <w:bCs/>
          <w:kern w:val="0"/>
          <w:sz w:val="24"/>
          <w:szCs w:val="24"/>
        </w:rPr>
      </w:pPr>
      <w:r>
        <w:rPr>
          <w:rFonts w:cs="宋体" w:asciiTheme="minorEastAsia" w:hAnsiTheme="minorEastAsia"/>
          <w:bCs/>
          <w:kern w:val="0"/>
          <w:sz w:val="24"/>
          <w:szCs w:val="24"/>
        </w:rPr>
        <w:t>四、主要标的信息</w:t>
      </w:r>
    </w:p>
    <w:tbl>
      <w:tblPr>
        <w:tblStyle w:val="13"/>
        <w:tblW w:w="5000" w:type="pct"/>
        <w:tblInd w:w="0" w:type="dxa"/>
        <w:tblBorders>
          <w:top w:val="outset" w:color="auto" w:sz="18" w:space="0"/>
          <w:left w:val="outset" w:color="auto" w:sz="18" w:space="0"/>
          <w:bottom w:val="outset" w:color="auto" w:sz="18" w:space="0"/>
          <w:right w:val="outset" w:color="auto" w:sz="18" w:space="0"/>
          <w:insideH w:val="none" w:color="auto" w:sz="0" w:space="0"/>
          <w:insideV w:val="none" w:color="auto" w:sz="0" w:space="0"/>
        </w:tblBorders>
        <w:tblLayout w:type="autofit"/>
        <w:tblCellMar>
          <w:top w:w="0" w:type="dxa"/>
          <w:left w:w="0" w:type="dxa"/>
          <w:bottom w:w="0" w:type="dxa"/>
          <w:right w:w="0" w:type="dxa"/>
        </w:tblCellMar>
      </w:tblPr>
      <w:tblGrid>
        <w:gridCol w:w="610"/>
        <w:gridCol w:w="1249"/>
        <w:gridCol w:w="1554"/>
        <w:gridCol w:w="1558"/>
        <w:gridCol w:w="2407"/>
        <w:gridCol w:w="1136"/>
        <w:gridCol w:w="1225"/>
      </w:tblGrid>
      <w:tr w14:paraId="06E4E10B">
        <w:tblPrEx>
          <w:tblBorders>
            <w:top w:val="outset" w:color="auto" w:sz="18" w:space="0"/>
            <w:left w:val="outset" w:color="auto" w:sz="18" w:space="0"/>
            <w:bottom w:val="outset" w:color="auto" w:sz="18" w:space="0"/>
            <w:right w:val="outset" w:color="auto" w:sz="18" w:space="0"/>
            <w:insideH w:val="none" w:color="auto" w:sz="0" w:space="0"/>
            <w:insideV w:val="none" w:color="auto" w:sz="0" w:space="0"/>
          </w:tblBorders>
          <w:tblCellMar>
            <w:top w:w="0" w:type="dxa"/>
            <w:left w:w="0" w:type="dxa"/>
            <w:bottom w:w="0" w:type="dxa"/>
            <w:right w:w="0" w:type="dxa"/>
          </w:tblCellMar>
        </w:tblPrEx>
        <w:tc>
          <w:tcPr>
            <w:tcW w:w="313" w:type="pct"/>
            <w:tcBorders>
              <w:top w:val="outset" w:color="auto" w:sz="6" w:space="0"/>
              <w:left w:val="outset" w:color="auto" w:sz="6" w:space="0"/>
              <w:bottom w:val="outset" w:color="auto" w:sz="6" w:space="0"/>
              <w:right w:val="outset" w:color="auto" w:sz="6" w:space="0"/>
            </w:tcBorders>
            <w:vAlign w:val="center"/>
          </w:tcPr>
          <w:p w14:paraId="26D2623B">
            <w:pPr>
              <w:widowControl/>
              <w:jc w:val="center"/>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序号</w:t>
            </w:r>
          </w:p>
        </w:tc>
        <w:tc>
          <w:tcPr>
            <w:tcW w:w="641" w:type="pct"/>
            <w:tcBorders>
              <w:top w:val="outset" w:color="auto" w:sz="6" w:space="0"/>
              <w:left w:val="outset" w:color="auto" w:sz="6" w:space="0"/>
              <w:bottom w:val="outset" w:color="auto" w:sz="6" w:space="0"/>
              <w:right w:val="outset" w:color="auto" w:sz="6" w:space="0"/>
            </w:tcBorders>
            <w:vAlign w:val="center"/>
          </w:tcPr>
          <w:p w14:paraId="3AF13F5A">
            <w:pPr>
              <w:widowControl/>
              <w:jc w:val="center"/>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供应商名称</w:t>
            </w:r>
          </w:p>
        </w:tc>
        <w:tc>
          <w:tcPr>
            <w:tcW w:w="798" w:type="pct"/>
            <w:tcBorders>
              <w:top w:val="outset" w:color="auto" w:sz="6" w:space="0"/>
              <w:left w:val="outset" w:color="auto" w:sz="6" w:space="0"/>
              <w:bottom w:val="outset" w:color="auto" w:sz="6" w:space="0"/>
              <w:right w:val="outset" w:color="auto" w:sz="6" w:space="0"/>
            </w:tcBorders>
            <w:vAlign w:val="center"/>
          </w:tcPr>
          <w:p w14:paraId="6360F72E">
            <w:pPr>
              <w:widowControl/>
              <w:jc w:val="center"/>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服务名称</w:t>
            </w:r>
          </w:p>
        </w:tc>
        <w:tc>
          <w:tcPr>
            <w:tcW w:w="800" w:type="pct"/>
            <w:tcBorders>
              <w:top w:val="outset" w:color="auto" w:sz="6" w:space="0"/>
              <w:left w:val="outset" w:color="auto" w:sz="6" w:space="0"/>
              <w:bottom w:val="outset" w:color="auto" w:sz="6" w:space="0"/>
              <w:right w:val="outset" w:color="auto" w:sz="6" w:space="0"/>
            </w:tcBorders>
            <w:vAlign w:val="center"/>
          </w:tcPr>
          <w:p w14:paraId="3CCBBBAB">
            <w:pPr>
              <w:widowControl/>
              <w:jc w:val="center"/>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服务范围</w:t>
            </w:r>
          </w:p>
        </w:tc>
        <w:tc>
          <w:tcPr>
            <w:tcW w:w="1236" w:type="pct"/>
            <w:tcBorders>
              <w:top w:val="outset" w:color="auto" w:sz="6" w:space="0"/>
              <w:left w:val="outset" w:color="auto" w:sz="6" w:space="0"/>
              <w:bottom w:val="outset" w:color="auto" w:sz="6" w:space="0"/>
              <w:right w:val="outset" w:color="auto" w:sz="6" w:space="0"/>
            </w:tcBorders>
            <w:vAlign w:val="center"/>
          </w:tcPr>
          <w:p w14:paraId="1582D708">
            <w:pPr>
              <w:widowControl/>
              <w:jc w:val="center"/>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服务要求</w:t>
            </w:r>
          </w:p>
        </w:tc>
        <w:tc>
          <w:tcPr>
            <w:tcW w:w="583" w:type="pct"/>
            <w:tcBorders>
              <w:top w:val="outset" w:color="auto" w:sz="6" w:space="0"/>
              <w:left w:val="outset" w:color="auto" w:sz="6" w:space="0"/>
              <w:bottom w:val="outset" w:color="auto" w:sz="6" w:space="0"/>
              <w:right w:val="outset" w:color="auto" w:sz="6" w:space="0"/>
            </w:tcBorders>
            <w:vAlign w:val="center"/>
          </w:tcPr>
          <w:p w14:paraId="749FE142">
            <w:pPr>
              <w:widowControl/>
              <w:jc w:val="center"/>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服务时间</w:t>
            </w:r>
          </w:p>
        </w:tc>
        <w:tc>
          <w:tcPr>
            <w:tcW w:w="629" w:type="pct"/>
            <w:tcBorders>
              <w:top w:val="outset" w:color="auto" w:sz="6" w:space="0"/>
              <w:left w:val="outset" w:color="auto" w:sz="6" w:space="0"/>
              <w:bottom w:val="outset" w:color="auto" w:sz="6" w:space="0"/>
              <w:right w:val="outset" w:color="auto" w:sz="6" w:space="0"/>
            </w:tcBorders>
            <w:vAlign w:val="center"/>
          </w:tcPr>
          <w:p w14:paraId="120A440A">
            <w:pPr>
              <w:widowControl/>
              <w:jc w:val="center"/>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服务标准</w:t>
            </w:r>
          </w:p>
        </w:tc>
      </w:tr>
      <w:tr w14:paraId="66DF0A7E">
        <w:tblPrEx>
          <w:tblBorders>
            <w:top w:val="outset" w:color="auto" w:sz="18" w:space="0"/>
            <w:left w:val="outset" w:color="auto" w:sz="18" w:space="0"/>
            <w:bottom w:val="outset" w:color="auto" w:sz="18" w:space="0"/>
            <w:right w:val="outset" w:color="auto" w:sz="18" w:space="0"/>
            <w:insideH w:val="none" w:color="auto" w:sz="0" w:space="0"/>
            <w:insideV w:val="none" w:color="auto" w:sz="0" w:space="0"/>
          </w:tblBorders>
          <w:tblCellMar>
            <w:top w:w="0" w:type="dxa"/>
            <w:left w:w="0" w:type="dxa"/>
            <w:bottom w:w="0" w:type="dxa"/>
            <w:right w:w="0" w:type="dxa"/>
          </w:tblCellMar>
        </w:tblPrEx>
        <w:trPr>
          <w:trHeight w:val="269" w:hRule="atLeast"/>
        </w:trPr>
        <w:tc>
          <w:tcPr>
            <w:tcW w:w="313" w:type="pct"/>
            <w:tcBorders>
              <w:top w:val="outset" w:color="auto" w:sz="6" w:space="0"/>
              <w:left w:val="outset" w:color="auto" w:sz="6" w:space="0"/>
              <w:bottom w:val="outset" w:color="auto" w:sz="6" w:space="0"/>
              <w:right w:val="outset" w:color="auto" w:sz="6" w:space="0"/>
            </w:tcBorders>
            <w:vAlign w:val="center"/>
          </w:tcPr>
          <w:p w14:paraId="7EA6E251">
            <w:pPr>
              <w:widowControl/>
              <w:jc w:val="center"/>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1</w:t>
            </w:r>
          </w:p>
        </w:tc>
        <w:tc>
          <w:tcPr>
            <w:tcW w:w="641" w:type="pct"/>
            <w:tcBorders>
              <w:top w:val="outset" w:color="auto" w:sz="6" w:space="0"/>
              <w:left w:val="outset" w:color="auto" w:sz="6" w:space="0"/>
              <w:bottom w:val="outset" w:color="auto" w:sz="6" w:space="0"/>
              <w:right w:val="outset" w:color="auto" w:sz="6" w:space="0"/>
            </w:tcBorders>
            <w:vAlign w:val="center"/>
          </w:tcPr>
          <w:p w14:paraId="228A18D6">
            <w:pPr>
              <w:widowControl/>
              <w:jc w:val="center"/>
              <w:rPr>
                <w:rFonts w:cs="宋体" w:asciiTheme="majorEastAsia" w:hAnsiTheme="majorEastAsia" w:eastAsiaTheme="majorEastAsia"/>
                <w:kern w:val="0"/>
                <w:sz w:val="24"/>
                <w:szCs w:val="24"/>
              </w:rPr>
            </w:pPr>
            <w:r>
              <w:rPr>
                <w:rFonts w:hint="eastAsia" w:ascii="宋体" w:hAnsi="宋体" w:cs="宋体"/>
                <w:kern w:val="0"/>
                <w:sz w:val="24"/>
              </w:rPr>
              <w:t>福建省教育评估研究中心</w:t>
            </w:r>
          </w:p>
        </w:tc>
        <w:tc>
          <w:tcPr>
            <w:tcW w:w="798" w:type="pct"/>
            <w:tcBorders>
              <w:top w:val="outset" w:color="auto" w:sz="6" w:space="0"/>
              <w:left w:val="outset" w:color="auto" w:sz="6" w:space="0"/>
              <w:bottom w:val="outset" w:color="auto" w:sz="6" w:space="0"/>
              <w:right w:val="outset" w:color="auto" w:sz="6" w:space="0"/>
            </w:tcBorders>
            <w:vAlign w:val="center"/>
          </w:tcPr>
          <w:p w14:paraId="74807CF8">
            <w:pPr>
              <w:adjustRightInd w:val="0"/>
              <w:snapToGrid w:val="0"/>
              <w:spacing w:line="560" w:lineRule="exact"/>
              <w:jc w:val="center"/>
              <w:rPr>
                <w:rFonts w:ascii="宋体" w:hAnsi="宋体"/>
                <w:sz w:val="24"/>
                <w:szCs w:val="24"/>
              </w:rPr>
            </w:pPr>
            <w:r>
              <w:rPr>
                <w:rFonts w:hint="eastAsia" w:ascii="宋体" w:hAnsi="宋体"/>
                <w:sz w:val="24"/>
                <w:szCs w:val="24"/>
              </w:rPr>
              <w:t>福州职业技术大学专业动态调整管理评价服务项目</w:t>
            </w:r>
          </w:p>
        </w:tc>
        <w:tc>
          <w:tcPr>
            <w:tcW w:w="800" w:type="pct"/>
            <w:tcBorders>
              <w:top w:val="outset" w:color="auto" w:sz="6" w:space="0"/>
              <w:left w:val="outset" w:color="auto" w:sz="6" w:space="0"/>
              <w:bottom w:val="outset" w:color="auto" w:sz="6" w:space="0"/>
              <w:right w:val="outset" w:color="auto" w:sz="6" w:space="0"/>
            </w:tcBorders>
            <w:vAlign w:val="center"/>
          </w:tcPr>
          <w:p w14:paraId="0EC9B899">
            <w:pPr>
              <w:tabs>
                <w:tab w:val="left" w:pos="4144"/>
              </w:tabs>
              <w:jc w:val="center"/>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13个拟升本专业评估，形成对应的《专业评估分析报告》，以及推荐升本《专业评估专家组意见》。</w:t>
            </w:r>
          </w:p>
        </w:tc>
        <w:tc>
          <w:tcPr>
            <w:tcW w:w="1236" w:type="pct"/>
            <w:tcBorders>
              <w:top w:val="outset" w:color="auto" w:sz="6" w:space="0"/>
              <w:left w:val="outset" w:color="auto" w:sz="6" w:space="0"/>
              <w:bottom w:val="outset" w:color="auto" w:sz="6" w:space="0"/>
              <w:right w:val="outset" w:color="auto" w:sz="6" w:space="0"/>
            </w:tcBorders>
            <w:vAlign w:val="center"/>
          </w:tcPr>
          <w:p w14:paraId="2DC05DFB">
            <w:pPr>
              <w:widowControl/>
              <w:jc w:val="center"/>
              <w:rPr>
                <w:rFonts w:ascii="宋体" w:hAnsi="宋体" w:eastAsiaTheme="majorEastAsia"/>
                <w:color w:val="000000"/>
                <w:sz w:val="24"/>
                <w:szCs w:val="24"/>
              </w:rPr>
            </w:pPr>
            <w:r>
              <w:rPr>
                <w:rFonts w:hint="eastAsia" w:cs="宋体" w:asciiTheme="majorEastAsia" w:hAnsiTheme="majorEastAsia" w:eastAsiaTheme="majorEastAsia"/>
                <w:kern w:val="0"/>
                <w:sz w:val="24"/>
                <w:szCs w:val="24"/>
              </w:rPr>
              <w:t>服务技术保障：成交供应商成立项目保障工作组，设项目负责人1名，具备职业教育评估相关工作经验，统筹项目实施、进度管控、沟通协调与交付验收工作。（详见采购文件第三章“报价内容及要求”）</w:t>
            </w:r>
          </w:p>
        </w:tc>
        <w:tc>
          <w:tcPr>
            <w:tcW w:w="583" w:type="pct"/>
            <w:tcBorders>
              <w:top w:val="outset" w:color="auto" w:sz="6" w:space="0"/>
              <w:left w:val="outset" w:color="auto" w:sz="6" w:space="0"/>
              <w:bottom w:val="outset" w:color="auto" w:sz="6" w:space="0"/>
              <w:right w:val="outset" w:color="auto" w:sz="6" w:space="0"/>
            </w:tcBorders>
            <w:vAlign w:val="center"/>
          </w:tcPr>
          <w:p w14:paraId="14DA833C">
            <w:pPr>
              <w:widowControl/>
              <w:jc w:val="center"/>
              <w:rPr>
                <w:rFonts w:cs="宋体" w:asciiTheme="majorEastAsia" w:hAnsiTheme="majorEastAsia"/>
                <w:kern w:val="0"/>
                <w:sz w:val="24"/>
                <w:szCs w:val="24"/>
              </w:rPr>
            </w:pPr>
            <w:r>
              <w:rPr>
                <w:rFonts w:hint="eastAsia" w:ascii="宋体" w:hAnsi="宋体"/>
                <w:sz w:val="24"/>
              </w:rPr>
              <w:t>合同签订生效后至2026 年 1</w:t>
            </w:r>
            <w:r>
              <w:rPr>
                <w:rFonts w:ascii="宋体" w:hAnsi="宋体"/>
                <w:sz w:val="24"/>
              </w:rPr>
              <w:t>1</w:t>
            </w:r>
            <w:r>
              <w:rPr>
                <w:rFonts w:hint="eastAsia" w:ascii="宋体" w:hAnsi="宋体"/>
                <w:sz w:val="24"/>
              </w:rPr>
              <w:t>月 1 日。</w:t>
            </w:r>
          </w:p>
        </w:tc>
        <w:tc>
          <w:tcPr>
            <w:tcW w:w="629" w:type="pct"/>
            <w:tcBorders>
              <w:top w:val="outset" w:color="auto" w:sz="6" w:space="0"/>
              <w:left w:val="outset" w:color="auto" w:sz="6" w:space="0"/>
              <w:bottom w:val="outset" w:color="auto" w:sz="6" w:space="0"/>
              <w:right w:val="outset" w:color="auto" w:sz="6" w:space="0"/>
            </w:tcBorders>
            <w:vAlign w:val="center"/>
          </w:tcPr>
          <w:p w14:paraId="1DB31D15">
            <w:pPr>
              <w:widowControl/>
              <w:jc w:val="center"/>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满足采购人技术服务要求</w:t>
            </w:r>
          </w:p>
        </w:tc>
      </w:tr>
    </w:tbl>
    <w:p w14:paraId="5F71486D">
      <w:pPr>
        <w:widowControl/>
        <w:spacing w:line="480" w:lineRule="exact"/>
        <w:jc w:val="left"/>
        <w:rPr>
          <w:rFonts w:ascii="宋体" w:hAnsi="宋体" w:eastAsia="宋体" w:cs="宋体"/>
          <w:bCs/>
          <w:kern w:val="0"/>
          <w:sz w:val="24"/>
          <w:szCs w:val="24"/>
        </w:rPr>
      </w:pPr>
      <w:r>
        <w:rPr>
          <w:rFonts w:ascii="宋体" w:hAnsi="宋体" w:eastAsia="宋体" w:cs="宋体"/>
          <w:bCs/>
          <w:kern w:val="0"/>
          <w:sz w:val="24"/>
          <w:szCs w:val="24"/>
        </w:rPr>
        <w:t>五、评标专家(单一来源采购人员)名单：</w:t>
      </w:r>
      <w:r>
        <w:rPr>
          <w:rFonts w:hint="eastAsia" w:ascii="宋体" w:hAnsi="宋体" w:eastAsia="宋体" w:cs="宋体"/>
          <w:bCs/>
          <w:kern w:val="0"/>
          <w:sz w:val="24"/>
          <w:szCs w:val="24"/>
        </w:rPr>
        <w:t>周卫平、麻明建、李芃秋(</w:t>
      </w:r>
      <w:r>
        <w:rPr>
          <w:rFonts w:ascii="宋体" w:hAnsi="宋体" w:eastAsia="宋体" w:cs="宋体"/>
          <w:kern w:val="0"/>
          <w:sz w:val="24"/>
          <w:szCs w:val="24"/>
        </w:rPr>
        <w:t>采购人代表</w:t>
      </w:r>
      <w:r>
        <w:rPr>
          <w:rFonts w:hint="eastAsia" w:ascii="宋体" w:hAnsi="宋体" w:eastAsia="宋体" w:cs="宋体"/>
          <w:bCs/>
          <w:kern w:val="0"/>
          <w:sz w:val="24"/>
          <w:szCs w:val="24"/>
        </w:rPr>
        <w:t>)</w:t>
      </w:r>
    </w:p>
    <w:p w14:paraId="067C4F18">
      <w:pPr>
        <w:tabs>
          <w:tab w:val="left" w:pos="3402"/>
        </w:tabs>
        <w:snapToGrid w:val="0"/>
        <w:spacing w:line="500" w:lineRule="exact"/>
        <w:ind w:firstLine="480" w:firstLineChars="200"/>
        <w:rPr>
          <w:rFonts w:cs="宋体" w:asciiTheme="majorEastAsia" w:hAnsiTheme="majorEastAsia" w:eastAsiaTheme="majorEastAsia"/>
          <w:bCs/>
          <w:kern w:val="0"/>
          <w:sz w:val="24"/>
          <w:szCs w:val="24"/>
        </w:rPr>
      </w:pPr>
      <w:r>
        <w:rPr>
          <w:rFonts w:cs="宋体" w:asciiTheme="minorEastAsia" w:hAnsiTheme="minorEastAsia"/>
          <w:bCs/>
          <w:kern w:val="0"/>
          <w:sz w:val="24"/>
          <w:szCs w:val="24"/>
        </w:rPr>
        <w:t>六、</w:t>
      </w:r>
      <w:r>
        <w:rPr>
          <w:rFonts w:hint="eastAsia" w:cs="宋体" w:asciiTheme="majorEastAsia" w:hAnsiTheme="majorEastAsia" w:eastAsiaTheme="majorEastAsia"/>
          <w:bCs/>
          <w:kern w:val="0"/>
          <w:sz w:val="24"/>
          <w:szCs w:val="24"/>
        </w:rPr>
        <w:t>代理服务收费标准及金额：</w:t>
      </w:r>
    </w:p>
    <w:p w14:paraId="4D55DD3E">
      <w:pPr>
        <w:tabs>
          <w:tab w:val="left" w:pos="3402"/>
        </w:tabs>
        <w:snapToGrid w:val="0"/>
        <w:spacing w:line="500" w:lineRule="exact"/>
        <w:ind w:firstLine="480" w:firstLineChars="200"/>
        <w:rPr>
          <w:rFonts w:ascii="宋体" w:hAnsi="宋体"/>
          <w:sz w:val="24"/>
        </w:rPr>
      </w:pPr>
      <w:r>
        <w:rPr>
          <w:rFonts w:hint="eastAsia" w:ascii="宋体" w:hAnsi="宋体"/>
          <w:sz w:val="24"/>
        </w:rPr>
        <w:t>1、成交供应商须按照以下标准，按差额定率累进法计算，向采购代理机构交纳采购代理服务费：</w:t>
      </w:r>
    </w:p>
    <w:p w14:paraId="3D4290B6">
      <w:pPr>
        <w:tabs>
          <w:tab w:val="left" w:pos="3402"/>
        </w:tabs>
        <w:snapToGrid w:val="0"/>
        <w:spacing w:line="500" w:lineRule="exact"/>
        <w:ind w:firstLine="480" w:firstLineChars="200"/>
        <w:rPr>
          <w:rFonts w:ascii="宋体" w:hAnsi="宋体"/>
          <w:sz w:val="24"/>
        </w:rPr>
      </w:pPr>
      <w:r>
        <w:rPr>
          <w:rFonts w:hint="eastAsia" w:ascii="宋体" w:hAnsi="宋体"/>
          <w:sz w:val="24"/>
        </w:rPr>
        <w:t>(1)以成交通知书规定的成交总金额作为收费的计算基数。</w:t>
      </w:r>
    </w:p>
    <w:p w14:paraId="59316F9E">
      <w:pPr>
        <w:tabs>
          <w:tab w:val="left" w:pos="3402"/>
        </w:tabs>
        <w:snapToGrid w:val="0"/>
        <w:spacing w:line="500" w:lineRule="exact"/>
        <w:ind w:firstLine="480" w:firstLineChars="200"/>
        <w:rPr>
          <w:rFonts w:ascii="宋体" w:hAnsi="宋体"/>
          <w:sz w:val="24"/>
        </w:rPr>
      </w:pPr>
      <w:r>
        <w:rPr>
          <w:rFonts w:hint="eastAsia" w:ascii="宋体" w:hAnsi="宋体"/>
          <w:sz w:val="24"/>
        </w:rPr>
        <w:t>(2)采购代理服务收费的标准：</w:t>
      </w:r>
    </w:p>
    <w:p w14:paraId="4CD79D4B">
      <w:pPr>
        <w:tabs>
          <w:tab w:val="left" w:pos="3402"/>
        </w:tabs>
        <w:snapToGrid w:val="0"/>
        <w:spacing w:line="500" w:lineRule="exact"/>
        <w:jc w:val="center"/>
        <w:rPr>
          <w:rFonts w:ascii="宋体" w:hAnsi="宋体"/>
          <w:sz w:val="24"/>
        </w:rPr>
      </w:pPr>
      <w:r>
        <w:rPr>
          <w:rFonts w:hint="eastAsia" w:ascii="宋体" w:hAnsi="宋体"/>
          <w:sz w:val="24"/>
        </w:rPr>
        <w:t>成交金额(万元)            收费费率标准</w:t>
      </w:r>
    </w:p>
    <w:p w14:paraId="61BCB51A">
      <w:pPr>
        <w:tabs>
          <w:tab w:val="left" w:pos="3402"/>
        </w:tabs>
        <w:snapToGrid w:val="0"/>
        <w:spacing w:line="500" w:lineRule="exact"/>
        <w:jc w:val="center"/>
        <w:rPr>
          <w:rFonts w:ascii="宋体" w:hAnsi="宋体"/>
          <w:sz w:val="24"/>
        </w:rPr>
      </w:pPr>
      <w:r>
        <w:rPr>
          <w:rFonts w:hint="eastAsia" w:ascii="宋体" w:hAnsi="宋体"/>
          <w:sz w:val="24"/>
        </w:rPr>
        <w:t>100以下                    1.50%</w:t>
      </w:r>
    </w:p>
    <w:p w14:paraId="7B8328F7">
      <w:pPr>
        <w:tabs>
          <w:tab w:val="left" w:pos="3402"/>
        </w:tabs>
        <w:snapToGrid w:val="0"/>
        <w:spacing w:line="500" w:lineRule="exact"/>
        <w:ind w:firstLine="480" w:firstLineChars="200"/>
        <w:rPr>
          <w:rFonts w:ascii="宋体" w:hAnsi="宋体"/>
          <w:sz w:val="24"/>
        </w:rPr>
      </w:pPr>
      <w:r>
        <w:rPr>
          <w:rFonts w:hint="eastAsia" w:ascii="宋体" w:hAnsi="宋体"/>
          <w:sz w:val="24"/>
        </w:rPr>
        <w:t>(3)采购代理服务费的交纳方式：</w:t>
      </w:r>
    </w:p>
    <w:p w14:paraId="65C46F0B">
      <w:pPr>
        <w:tabs>
          <w:tab w:val="left" w:pos="3402"/>
        </w:tabs>
        <w:snapToGrid w:val="0"/>
        <w:spacing w:line="500" w:lineRule="exact"/>
        <w:ind w:firstLine="480" w:firstLineChars="200"/>
        <w:rPr>
          <w:rFonts w:ascii="宋体" w:hAnsi="宋体"/>
          <w:sz w:val="24"/>
        </w:rPr>
      </w:pPr>
      <w:r>
        <w:rPr>
          <w:rFonts w:hint="eastAsia" w:ascii="宋体" w:hAnsi="宋体"/>
          <w:sz w:val="24"/>
        </w:rPr>
        <w:t>a.供应商在递交响应文件的同时，向采购代理机构递交采购代理服务费承诺书。</w:t>
      </w:r>
    </w:p>
    <w:p w14:paraId="2AE2B146">
      <w:pPr>
        <w:widowControl/>
        <w:spacing w:line="480" w:lineRule="exact"/>
        <w:jc w:val="left"/>
        <w:rPr>
          <w:rFonts w:cs="宋体" w:asciiTheme="majorEastAsia" w:hAnsiTheme="majorEastAsia" w:eastAsiaTheme="majorEastAsia"/>
          <w:kern w:val="0"/>
          <w:sz w:val="24"/>
          <w:szCs w:val="24"/>
        </w:rPr>
      </w:pPr>
      <w:r>
        <w:rPr>
          <w:rFonts w:hint="eastAsia" w:ascii="宋体" w:hAnsi="宋体"/>
          <w:sz w:val="24"/>
        </w:rPr>
        <w:t>b.</w:t>
      </w:r>
      <w:r>
        <w:rPr>
          <w:rFonts w:hint="eastAsia" w:ascii="宋体" w:hAnsi="宋体" w:cs="宋体"/>
          <w:sz w:val="24"/>
        </w:rPr>
        <w:t>成交的供应商应在领取成交通知书的同时按规定的标准一次性向采购代理机构缴清采购代理服务费。采购代理服务费以银行转账、电汇、汇票或现金等付款方式。</w:t>
      </w:r>
    </w:p>
    <w:p w14:paraId="307C89A3">
      <w:pPr>
        <w:widowControl/>
        <w:shd w:val="clear" w:color="auto" w:fill="FFFFFF"/>
        <w:spacing w:line="480" w:lineRule="exact"/>
        <w:ind w:firstLine="480" w:firstLineChars="200"/>
        <w:jc w:val="left"/>
        <w:rPr>
          <w:rFonts w:cs="宋体" w:asciiTheme="majorEastAsia" w:hAnsiTheme="majorEastAsia" w:eastAsiaTheme="majorEastAsia"/>
          <w:kern w:val="0"/>
          <w:sz w:val="24"/>
          <w:szCs w:val="24"/>
        </w:rPr>
      </w:pPr>
      <w:r>
        <w:rPr>
          <w:rFonts w:hint="eastAsia" w:cs="宋体" w:asciiTheme="majorEastAsia" w:hAnsiTheme="majorEastAsia" w:eastAsiaTheme="majorEastAsia"/>
          <w:bCs/>
          <w:kern w:val="0"/>
          <w:sz w:val="24"/>
          <w:szCs w:val="24"/>
        </w:rPr>
        <w:t>2.本项目代理费总金额：0.426万元(人民币)</w:t>
      </w:r>
    </w:p>
    <w:p w14:paraId="189D1FAD">
      <w:pPr>
        <w:widowControl/>
        <w:shd w:val="clear" w:color="auto" w:fill="FFFFFF"/>
        <w:spacing w:line="480" w:lineRule="exact"/>
        <w:jc w:val="left"/>
        <w:rPr>
          <w:rFonts w:cs="宋体" w:asciiTheme="majorEastAsia" w:hAnsiTheme="majorEastAsia" w:eastAsiaTheme="majorEastAsia"/>
          <w:kern w:val="0"/>
          <w:sz w:val="24"/>
          <w:szCs w:val="24"/>
        </w:rPr>
      </w:pPr>
      <w:r>
        <w:rPr>
          <w:rFonts w:hint="eastAsia" w:cs="宋体" w:asciiTheme="majorEastAsia" w:hAnsiTheme="majorEastAsia" w:eastAsiaTheme="majorEastAsia"/>
          <w:bCs/>
          <w:kern w:val="0"/>
          <w:sz w:val="24"/>
          <w:szCs w:val="24"/>
        </w:rPr>
        <w:t>七、公告期限</w:t>
      </w:r>
    </w:p>
    <w:p w14:paraId="2AF49E0E">
      <w:pPr>
        <w:widowControl/>
        <w:spacing w:line="480" w:lineRule="exact"/>
        <w:ind w:firstLine="480" w:firstLineChars="200"/>
        <w:jc w:val="left"/>
        <w:rPr>
          <w:rFonts w:cs="宋体" w:asciiTheme="minorEastAsia" w:hAnsiTheme="minorEastAsia"/>
          <w:bCs/>
          <w:kern w:val="0"/>
          <w:sz w:val="24"/>
          <w:szCs w:val="24"/>
        </w:rPr>
      </w:pPr>
      <w:r>
        <w:rPr>
          <w:rFonts w:hint="eastAsia" w:cs="宋体" w:asciiTheme="majorEastAsia" w:hAnsiTheme="majorEastAsia" w:eastAsiaTheme="majorEastAsia"/>
          <w:kern w:val="0"/>
          <w:sz w:val="24"/>
          <w:szCs w:val="24"/>
        </w:rPr>
        <w:t>自本公告发布之日起1个工作日。</w:t>
      </w:r>
    </w:p>
    <w:p w14:paraId="2F80983E">
      <w:pPr>
        <w:widowControl/>
        <w:spacing w:line="480" w:lineRule="exact"/>
        <w:jc w:val="left"/>
        <w:rPr>
          <w:rFonts w:cs="宋体" w:asciiTheme="minorEastAsia" w:hAnsiTheme="minorEastAsia"/>
          <w:bCs/>
          <w:kern w:val="0"/>
          <w:sz w:val="24"/>
          <w:szCs w:val="24"/>
        </w:rPr>
      </w:pPr>
      <w:r>
        <w:rPr>
          <w:rFonts w:cs="宋体" w:asciiTheme="minorEastAsia" w:hAnsiTheme="minorEastAsia"/>
          <w:bCs/>
          <w:kern w:val="0"/>
          <w:sz w:val="24"/>
          <w:szCs w:val="24"/>
        </w:rPr>
        <w:t>八、其他补充事宜</w:t>
      </w:r>
    </w:p>
    <w:p w14:paraId="3CEEDE31">
      <w:pPr>
        <w:spacing w:line="480" w:lineRule="exact"/>
        <w:ind w:firstLine="480" w:firstLineChars="200"/>
        <w:rPr>
          <w:rFonts w:ascii="宋体" w:hAnsi="宋体"/>
          <w:sz w:val="24"/>
        </w:rPr>
      </w:pPr>
      <w:r>
        <w:rPr>
          <w:rFonts w:hint="eastAsia" w:ascii="宋体" w:hAnsi="宋体"/>
          <w:sz w:val="24"/>
        </w:rPr>
        <w:t>1、资格与符合性审查</w:t>
      </w:r>
    </w:p>
    <w:p w14:paraId="7887F5B9">
      <w:pPr>
        <w:spacing w:line="480" w:lineRule="exact"/>
        <w:ind w:firstLine="480" w:firstLineChars="200"/>
        <w:rPr>
          <w:rFonts w:ascii="宋体" w:hAnsi="宋体"/>
          <w:color w:val="0000FF"/>
          <w:sz w:val="24"/>
        </w:rPr>
      </w:pPr>
      <w:r>
        <w:rPr>
          <w:rFonts w:hint="eastAsia" w:ascii="宋体" w:hAnsi="宋体"/>
          <w:color w:val="000000"/>
          <w:sz w:val="24"/>
        </w:rPr>
        <w:t>1.1供应商资格审查：协商小组按照单一来源采购文件（第二章须知前附表第2项条款）规定的报价资格要求对响应文件进行审查，</w:t>
      </w:r>
      <w:r>
        <w:rPr>
          <w:rFonts w:hint="eastAsia" w:ascii="宋体" w:hAnsi="宋体" w:cs="宋体"/>
          <w:kern w:val="0"/>
          <w:sz w:val="24"/>
        </w:rPr>
        <w:t>福建省教育评估研究中心</w:t>
      </w:r>
      <w:r>
        <w:rPr>
          <w:rFonts w:hint="eastAsia" w:ascii="宋体" w:hAnsi="宋体"/>
          <w:color w:val="000000"/>
          <w:sz w:val="24"/>
        </w:rPr>
        <w:t>的报价资格符合要求。</w:t>
      </w:r>
    </w:p>
    <w:p w14:paraId="2C98B605">
      <w:pPr>
        <w:spacing w:line="480" w:lineRule="exact"/>
        <w:ind w:firstLine="480" w:firstLineChars="200"/>
        <w:rPr>
          <w:rFonts w:ascii="宋体" w:hAnsi="宋体"/>
          <w:color w:val="000000"/>
          <w:sz w:val="24"/>
        </w:rPr>
      </w:pPr>
      <w:r>
        <w:rPr>
          <w:rFonts w:hint="eastAsia" w:ascii="宋体" w:hAnsi="宋体"/>
          <w:color w:val="000000"/>
          <w:sz w:val="24"/>
        </w:rPr>
        <w:t>1.2响应文件符合性审查：协商小组按照单一来源采购文件（第二章17.2.2条款）规定的符合性要求对各响应文件进行审查，</w:t>
      </w:r>
      <w:r>
        <w:rPr>
          <w:rFonts w:hint="eastAsia" w:ascii="宋体" w:hAnsi="宋体" w:cs="宋体"/>
          <w:kern w:val="0"/>
          <w:sz w:val="24"/>
        </w:rPr>
        <w:t>福建省教育评估研究中心</w:t>
      </w:r>
      <w:r>
        <w:rPr>
          <w:rFonts w:hint="eastAsia" w:ascii="宋体" w:hAnsi="宋体"/>
          <w:color w:val="000000"/>
          <w:sz w:val="24"/>
        </w:rPr>
        <w:t xml:space="preserve">的符合性审查情况符合要求。           </w:t>
      </w:r>
    </w:p>
    <w:p w14:paraId="3C9BFCF0">
      <w:pPr>
        <w:spacing w:line="480" w:lineRule="exact"/>
        <w:ind w:firstLine="480" w:firstLineChars="200"/>
        <w:rPr>
          <w:rFonts w:ascii="宋体" w:hAnsi="宋体"/>
          <w:sz w:val="24"/>
        </w:rPr>
      </w:pPr>
      <w:r>
        <w:rPr>
          <w:rFonts w:hint="eastAsia" w:ascii="宋体" w:hAnsi="宋体"/>
          <w:sz w:val="24"/>
        </w:rPr>
        <w:t>2、成交日期：2026年09月16日。</w:t>
      </w:r>
    </w:p>
    <w:p w14:paraId="03CD0974">
      <w:pPr>
        <w:spacing w:line="480" w:lineRule="exact"/>
        <w:ind w:firstLine="480" w:firstLineChars="200"/>
        <w:jc w:val="left"/>
        <w:rPr>
          <w:rFonts w:ascii="宋体" w:hAnsi="宋体"/>
          <w:sz w:val="24"/>
        </w:rPr>
      </w:pPr>
      <w:r>
        <w:rPr>
          <w:rFonts w:hint="eastAsia" w:ascii="宋体" w:hAnsi="宋体"/>
          <w:sz w:val="24"/>
        </w:rPr>
        <w:t>3、项目经理：张林丽/0591-83393306。</w:t>
      </w:r>
    </w:p>
    <w:p w14:paraId="190D5219">
      <w:pPr>
        <w:widowControl/>
        <w:spacing w:line="480" w:lineRule="exact"/>
        <w:jc w:val="left"/>
        <w:rPr>
          <w:rFonts w:cs="宋体" w:asciiTheme="minorEastAsia" w:hAnsiTheme="minorEastAsia"/>
          <w:bCs/>
          <w:kern w:val="0"/>
          <w:sz w:val="24"/>
          <w:szCs w:val="24"/>
        </w:rPr>
      </w:pPr>
      <w:r>
        <w:rPr>
          <w:rFonts w:cs="宋体" w:asciiTheme="minorEastAsia" w:hAnsiTheme="minorEastAsia"/>
          <w:bCs/>
          <w:kern w:val="0"/>
          <w:sz w:val="24"/>
          <w:szCs w:val="24"/>
        </w:rPr>
        <w:t>九、凡对本次公告内容提出询问，按以下方式联系。</w:t>
      </w:r>
      <w:r>
        <w:rPr>
          <w:rFonts w:hint="eastAsia" w:cs="宋体" w:asciiTheme="minorEastAsia" w:hAnsiTheme="minorEastAsia"/>
          <w:bCs/>
          <w:kern w:val="0"/>
          <w:sz w:val="24"/>
          <w:szCs w:val="24"/>
        </w:rPr>
        <w:t xml:space="preserve"> </w:t>
      </w:r>
      <w:bookmarkStart w:id="0" w:name="_GoBack"/>
      <w:bookmarkEnd w:id="0"/>
    </w:p>
    <w:p w14:paraId="4B9DD86C">
      <w:pPr>
        <w:widowControl/>
        <w:shd w:val="clear" w:color="auto" w:fill="FFFFFF"/>
        <w:spacing w:line="480" w:lineRule="exact"/>
        <w:jc w:val="left"/>
        <w:rPr>
          <w:rFonts w:ascii="宋体" w:hAnsi="宋体" w:cs="宋体"/>
          <w:kern w:val="0"/>
          <w:sz w:val="24"/>
        </w:rPr>
      </w:pPr>
      <w:r>
        <w:rPr>
          <w:rFonts w:hint="eastAsia" w:ascii="宋体" w:hAnsi="宋体" w:cs="宋体"/>
          <w:kern w:val="0"/>
          <w:sz w:val="24"/>
        </w:rPr>
        <w:t xml:space="preserve">1.采购人信息  </w:t>
      </w:r>
    </w:p>
    <w:p w14:paraId="4130016C">
      <w:pPr>
        <w:spacing w:line="500" w:lineRule="exact"/>
        <w:ind w:firstLine="480" w:firstLineChars="200"/>
        <w:rPr>
          <w:rFonts w:ascii="宋体" w:hAnsi="宋体"/>
          <w:sz w:val="24"/>
        </w:rPr>
      </w:pPr>
      <w:r>
        <w:rPr>
          <w:rFonts w:hint="eastAsia" w:ascii="宋体" w:hAnsi="宋体"/>
          <w:sz w:val="24"/>
        </w:rPr>
        <w:t>采购人：福州职业技术大学</w:t>
      </w:r>
    </w:p>
    <w:p w14:paraId="24120AA0">
      <w:pPr>
        <w:spacing w:line="500" w:lineRule="exact"/>
        <w:ind w:firstLine="480" w:firstLineChars="200"/>
        <w:rPr>
          <w:rFonts w:ascii="宋体" w:hAnsi="宋体"/>
          <w:sz w:val="24"/>
        </w:rPr>
      </w:pPr>
      <w:r>
        <w:rPr>
          <w:rFonts w:hint="eastAsia" w:ascii="宋体" w:hAnsi="宋体"/>
          <w:sz w:val="24"/>
        </w:rPr>
        <w:t>地  址：福州市闽侯上街联榕路8号</w:t>
      </w:r>
    </w:p>
    <w:p w14:paraId="1B60FB19">
      <w:pPr>
        <w:spacing w:line="500" w:lineRule="exact"/>
        <w:ind w:firstLine="480" w:firstLineChars="200"/>
        <w:rPr>
          <w:rFonts w:ascii="宋体" w:hAnsi="宋体" w:cs="宋体"/>
          <w:kern w:val="0"/>
          <w:sz w:val="24"/>
        </w:rPr>
      </w:pPr>
      <w:r>
        <w:rPr>
          <w:rFonts w:hint="eastAsia" w:ascii="宋体" w:hAnsi="宋体"/>
          <w:sz w:val="24"/>
        </w:rPr>
        <w:t>联系方式：黄老师/0591-83760305</w:t>
      </w:r>
    </w:p>
    <w:p w14:paraId="021B98B2">
      <w:pPr>
        <w:widowControl/>
        <w:shd w:val="clear" w:color="auto" w:fill="FFFFFF"/>
        <w:spacing w:line="480" w:lineRule="exact"/>
        <w:jc w:val="left"/>
        <w:rPr>
          <w:rFonts w:ascii="宋体" w:hAnsi="宋体" w:cs="宋体"/>
          <w:kern w:val="0"/>
          <w:sz w:val="24"/>
        </w:rPr>
      </w:pPr>
      <w:r>
        <w:rPr>
          <w:rFonts w:hint="eastAsia" w:ascii="宋体" w:hAnsi="宋体" w:cs="宋体"/>
          <w:kern w:val="0"/>
          <w:sz w:val="24"/>
        </w:rPr>
        <w:t>2.采购代理机构信息(如有)</w:t>
      </w:r>
    </w:p>
    <w:p w14:paraId="11B1550E">
      <w:pPr>
        <w:widowControl/>
        <w:wordWrap w:val="0"/>
        <w:spacing w:line="500" w:lineRule="exact"/>
        <w:ind w:firstLine="480" w:firstLineChars="200"/>
        <w:rPr>
          <w:rFonts w:ascii="宋体" w:hAnsi="宋体"/>
          <w:sz w:val="24"/>
        </w:rPr>
      </w:pPr>
      <w:r>
        <w:rPr>
          <w:rFonts w:ascii="宋体" w:hAnsi="宋体"/>
          <w:sz w:val="24"/>
        </w:rPr>
        <w:t>名 称：福建国诚招标有限公司</w:t>
      </w:r>
    </w:p>
    <w:p w14:paraId="6D065D2F">
      <w:pPr>
        <w:widowControl/>
        <w:wordWrap w:val="0"/>
        <w:spacing w:line="500" w:lineRule="exact"/>
        <w:ind w:firstLine="480" w:firstLineChars="200"/>
        <w:rPr>
          <w:rFonts w:ascii="宋体" w:hAnsi="宋体"/>
          <w:sz w:val="24"/>
        </w:rPr>
      </w:pPr>
      <w:r>
        <w:rPr>
          <w:rFonts w:ascii="宋体" w:hAnsi="宋体"/>
          <w:sz w:val="24"/>
        </w:rPr>
        <w:t>地　址：福州市鼓楼区古田路中美大厦二十四层东单元</w:t>
      </w:r>
    </w:p>
    <w:p w14:paraId="7CB29B5D">
      <w:pPr>
        <w:widowControl/>
        <w:wordWrap w:val="0"/>
        <w:spacing w:line="500" w:lineRule="exact"/>
        <w:ind w:firstLine="480" w:firstLineChars="200"/>
        <w:rPr>
          <w:rFonts w:ascii="宋体" w:hAnsi="宋体"/>
          <w:sz w:val="24"/>
        </w:rPr>
      </w:pPr>
      <w:r>
        <w:rPr>
          <w:rFonts w:ascii="宋体" w:hAnsi="宋体"/>
          <w:sz w:val="24"/>
        </w:rPr>
        <w:t>联系方式：张林丽</w:t>
      </w:r>
      <w:r>
        <w:rPr>
          <w:rFonts w:hint="eastAsia" w:ascii="宋体" w:hAnsi="宋体"/>
          <w:sz w:val="24"/>
        </w:rPr>
        <w:t>/</w:t>
      </w:r>
      <w:r>
        <w:rPr>
          <w:rFonts w:ascii="宋体" w:hAnsi="宋体"/>
          <w:sz w:val="24"/>
        </w:rPr>
        <w:t>0591-833933</w:t>
      </w:r>
      <w:r>
        <w:rPr>
          <w:rFonts w:hint="eastAsia" w:ascii="宋体" w:hAnsi="宋体"/>
          <w:sz w:val="24"/>
        </w:rPr>
        <w:t>06</w:t>
      </w:r>
      <w:r>
        <w:rPr>
          <w:rFonts w:ascii="宋体" w:hAnsi="宋体"/>
          <w:sz w:val="24"/>
        </w:rPr>
        <w:t>、833933</w:t>
      </w:r>
      <w:r>
        <w:rPr>
          <w:rFonts w:hint="eastAsia" w:ascii="宋体" w:hAnsi="宋体"/>
          <w:sz w:val="24"/>
        </w:rPr>
        <w:t>07</w:t>
      </w:r>
    </w:p>
    <w:p w14:paraId="721CAF14">
      <w:pPr>
        <w:widowControl/>
        <w:wordWrap w:val="0"/>
        <w:spacing w:line="500" w:lineRule="exact"/>
        <w:rPr>
          <w:rFonts w:ascii="宋体" w:hAnsi="宋体"/>
          <w:sz w:val="24"/>
        </w:rPr>
      </w:pPr>
      <w:r>
        <w:rPr>
          <w:rFonts w:hint="eastAsia" w:ascii="宋体" w:hAnsi="宋体"/>
          <w:sz w:val="24"/>
        </w:rPr>
        <w:t>3.</w:t>
      </w:r>
      <w:r>
        <w:rPr>
          <w:rFonts w:ascii="宋体" w:hAnsi="宋体"/>
          <w:sz w:val="24"/>
        </w:rPr>
        <w:t>项目联系方式</w:t>
      </w:r>
    </w:p>
    <w:p w14:paraId="2673A94D">
      <w:pPr>
        <w:widowControl/>
        <w:wordWrap w:val="0"/>
        <w:spacing w:line="500" w:lineRule="exact"/>
        <w:ind w:firstLine="480" w:firstLineChars="200"/>
        <w:rPr>
          <w:rFonts w:ascii="宋体" w:hAnsi="宋体"/>
          <w:sz w:val="24"/>
        </w:rPr>
      </w:pPr>
      <w:r>
        <w:rPr>
          <w:rFonts w:ascii="宋体" w:hAnsi="宋体"/>
          <w:sz w:val="24"/>
        </w:rPr>
        <w:t>项目联系人：张林丽</w:t>
      </w:r>
    </w:p>
    <w:p w14:paraId="14C6F787">
      <w:pPr>
        <w:widowControl/>
        <w:wordWrap w:val="0"/>
        <w:spacing w:line="500" w:lineRule="exact"/>
        <w:ind w:firstLine="480" w:firstLineChars="200"/>
        <w:rPr>
          <w:rFonts w:ascii="宋体" w:hAnsi="宋体"/>
          <w:sz w:val="24"/>
        </w:rPr>
      </w:pPr>
      <w:r>
        <w:rPr>
          <w:rFonts w:ascii="宋体" w:hAnsi="宋体"/>
          <w:sz w:val="24"/>
        </w:rPr>
        <w:t>电</w:t>
      </w:r>
      <w:r>
        <w:rPr>
          <w:rFonts w:hint="eastAsia" w:ascii="宋体" w:hAnsi="宋体"/>
          <w:sz w:val="24"/>
        </w:rPr>
        <w:t xml:space="preserve"> </w:t>
      </w:r>
      <w:r>
        <w:rPr>
          <w:rFonts w:ascii="宋体" w:hAnsi="宋体"/>
          <w:sz w:val="24"/>
        </w:rPr>
        <w:t xml:space="preserve"> 话：0591-833933</w:t>
      </w:r>
      <w:r>
        <w:rPr>
          <w:rFonts w:hint="eastAsia" w:ascii="宋体" w:hAnsi="宋体"/>
          <w:sz w:val="24"/>
        </w:rPr>
        <w:t>06</w:t>
      </w:r>
      <w:r>
        <w:rPr>
          <w:rFonts w:ascii="宋体" w:hAnsi="宋体"/>
          <w:sz w:val="24"/>
        </w:rPr>
        <w:t>、833933</w:t>
      </w:r>
      <w:r>
        <w:rPr>
          <w:rFonts w:hint="eastAsia" w:ascii="宋体" w:hAnsi="宋体"/>
          <w:sz w:val="24"/>
        </w:rPr>
        <w:t>07</w:t>
      </w:r>
    </w:p>
    <w:p w14:paraId="786FE1FD">
      <w:pPr>
        <w:widowControl/>
        <w:shd w:val="clear" w:color="auto" w:fill="FFFFFF"/>
        <w:spacing w:line="480" w:lineRule="exact"/>
        <w:jc w:val="left"/>
        <w:rPr>
          <w:rFonts w:ascii="宋体" w:hAnsi="宋体" w:eastAsia="宋体" w:cs="宋体"/>
          <w:b/>
          <w:bCs/>
          <w:kern w:val="0"/>
          <w:sz w:val="30"/>
          <w:szCs w:val="30"/>
        </w:rPr>
      </w:pPr>
    </w:p>
    <w:p w14:paraId="172E5849">
      <w:pPr>
        <w:tabs>
          <w:tab w:val="left" w:pos="540"/>
          <w:tab w:val="left" w:pos="1080"/>
        </w:tabs>
        <w:spacing w:line="480" w:lineRule="exact"/>
        <w:ind w:firstLine="600" w:firstLineChars="200"/>
        <w:jc w:val="right"/>
        <w:rPr>
          <w:rFonts w:ascii="宋体" w:hAnsi="宋体"/>
          <w:sz w:val="24"/>
        </w:rPr>
      </w:pPr>
      <w:r>
        <w:rPr>
          <w:rFonts w:ascii="宋体" w:hAnsi="宋体" w:eastAsia="宋体" w:cs="宋体"/>
          <w:kern w:val="0"/>
          <w:sz w:val="30"/>
          <w:szCs w:val="30"/>
        </w:rPr>
        <w:t>                             </w:t>
      </w:r>
      <w:r>
        <w:rPr>
          <w:rFonts w:ascii="宋体" w:hAnsi="宋体"/>
          <w:sz w:val="24"/>
        </w:rPr>
        <w:t>福建国诚招标有限公司</w:t>
      </w:r>
    </w:p>
    <w:p w14:paraId="76E21C4E">
      <w:pPr>
        <w:tabs>
          <w:tab w:val="left" w:pos="540"/>
          <w:tab w:val="left" w:pos="1080"/>
        </w:tabs>
        <w:wordWrap w:val="0"/>
        <w:spacing w:line="480" w:lineRule="exact"/>
        <w:ind w:firstLine="480" w:firstLineChars="200"/>
        <w:jc w:val="right"/>
      </w:pPr>
      <w:r>
        <w:rPr>
          <w:rFonts w:ascii="宋体" w:hAnsi="宋体"/>
          <w:sz w:val="24"/>
        </w:rPr>
        <w:t>                               </w:t>
      </w:r>
      <w:r>
        <w:rPr>
          <w:rFonts w:hint="eastAsia" w:ascii="宋体" w:hAnsi="宋体"/>
          <w:sz w:val="24"/>
        </w:rPr>
        <w:t>2026年09月16日</w:t>
      </w:r>
    </w:p>
    <w:sectPr>
      <w:pgSz w:w="11906" w:h="16838"/>
      <w:pgMar w:top="1247" w:right="924" w:bottom="1089" w:left="125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A57A9"/>
    <w:rsid w:val="0001351B"/>
    <w:rsid w:val="00060290"/>
    <w:rsid w:val="000B2EDE"/>
    <w:rsid w:val="000C1346"/>
    <w:rsid w:val="00103192"/>
    <w:rsid w:val="00105F9C"/>
    <w:rsid w:val="00113E97"/>
    <w:rsid w:val="00116020"/>
    <w:rsid w:val="00137CE7"/>
    <w:rsid w:val="001A0706"/>
    <w:rsid w:val="001A4E61"/>
    <w:rsid w:val="001E4625"/>
    <w:rsid w:val="00214D43"/>
    <w:rsid w:val="00270764"/>
    <w:rsid w:val="00275D82"/>
    <w:rsid w:val="00285F7C"/>
    <w:rsid w:val="002C6094"/>
    <w:rsid w:val="002D3881"/>
    <w:rsid w:val="002E0C0C"/>
    <w:rsid w:val="00374CE9"/>
    <w:rsid w:val="00397536"/>
    <w:rsid w:val="003B23C1"/>
    <w:rsid w:val="003D6B6F"/>
    <w:rsid w:val="00405620"/>
    <w:rsid w:val="004340D2"/>
    <w:rsid w:val="0045372D"/>
    <w:rsid w:val="00471D28"/>
    <w:rsid w:val="004C1083"/>
    <w:rsid w:val="00510D07"/>
    <w:rsid w:val="00513B23"/>
    <w:rsid w:val="00516A0B"/>
    <w:rsid w:val="00527C2D"/>
    <w:rsid w:val="00532376"/>
    <w:rsid w:val="005505D6"/>
    <w:rsid w:val="0055599F"/>
    <w:rsid w:val="00572462"/>
    <w:rsid w:val="005A3E4E"/>
    <w:rsid w:val="00662916"/>
    <w:rsid w:val="006C1C40"/>
    <w:rsid w:val="006F066E"/>
    <w:rsid w:val="00707D73"/>
    <w:rsid w:val="00726237"/>
    <w:rsid w:val="007C0566"/>
    <w:rsid w:val="007C6136"/>
    <w:rsid w:val="007C7273"/>
    <w:rsid w:val="008B66CA"/>
    <w:rsid w:val="008D1BE4"/>
    <w:rsid w:val="008F5E8F"/>
    <w:rsid w:val="00925A2E"/>
    <w:rsid w:val="00961285"/>
    <w:rsid w:val="00970479"/>
    <w:rsid w:val="009710A1"/>
    <w:rsid w:val="00984BD2"/>
    <w:rsid w:val="009F5005"/>
    <w:rsid w:val="009F5673"/>
    <w:rsid w:val="00A17856"/>
    <w:rsid w:val="00A2254B"/>
    <w:rsid w:val="00A26933"/>
    <w:rsid w:val="00A40C78"/>
    <w:rsid w:val="00A53920"/>
    <w:rsid w:val="00AC68A2"/>
    <w:rsid w:val="00AC6E68"/>
    <w:rsid w:val="00AE14C9"/>
    <w:rsid w:val="00B24563"/>
    <w:rsid w:val="00BF2B94"/>
    <w:rsid w:val="00C11985"/>
    <w:rsid w:val="00C519C0"/>
    <w:rsid w:val="00C55D60"/>
    <w:rsid w:val="00D04EEE"/>
    <w:rsid w:val="00D21D46"/>
    <w:rsid w:val="00D4629B"/>
    <w:rsid w:val="00DA57A9"/>
    <w:rsid w:val="00DC1487"/>
    <w:rsid w:val="00E06A66"/>
    <w:rsid w:val="00E177C3"/>
    <w:rsid w:val="00E35876"/>
    <w:rsid w:val="00E461B4"/>
    <w:rsid w:val="00E54AAC"/>
    <w:rsid w:val="00E64E2D"/>
    <w:rsid w:val="00ED731B"/>
    <w:rsid w:val="00EF4D36"/>
    <w:rsid w:val="00F65DC1"/>
    <w:rsid w:val="00F66086"/>
    <w:rsid w:val="0A003D9B"/>
    <w:rsid w:val="0C9602F1"/>
    <w:rsid w:val="0CD374B0"/>
    <w:rsid w:val="15AA3894"/>
    <w:rsid w:val="24550B39"/>
    <w:rsid w:val="4C5C31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rPr>
      <w:szCs w:val="20"/>
    </w:rPr>
  </w:style>
  <w:style w:type="paragraph" w:styleId="3">
    <w:name w:val="Body Text"/>
    <w:basedOn w:val="1"/>
    <w:next w:val="1"/>
    <w:qFormat/>
    <w:uiPriority w:val="0"/>
    <w:pPr>
      <w:spacing w:after="120"/>
    </w:pPr>
    <w:rPr>
      <w:lang w:val="zh-CN"/>
    </w:rPr>
  </w:style>
  <w:style w:type="paragraph" w:styleId="4">
    <w:name w:val="Body Text First Indent 2"/>
    <w:basedOn w:val="5"/>
    <w:qFormat/>
    <w:uiPriority w:val="0"/>
    <w:pPr>
      <w:ind w:firstLine="420" w:firstLineChars="200"/>
    </w:pPr>
  </w:style>
  <w:style w:type="paragraph" w:styleId="5">
    <w:name w:val="Body Text Indent"/>
    <w:basedOn w:val="1"/>
    <w:qFormat/>
    <w:uiPriority w:val="0"/>
    <w:pPr>
      <w:spacing w:line="360" w:lineRule="auto"/>
      <w:ind w:firstLine="525"/>
    </w:pPr>
    <w:rPr>
      <w:rFonts w:ascii="宋体" w:hAnsi="宋体"/>
      <w:sz w:val="24"/>
      <w:szCs w:val="21"/>
    </w:rPr>
  </w:style>
  <w:style w:type="paragraph" w:styleId="6">
    <w:name w:val="Normal Indent"/>
    <w:basedOn w:val="1"/>
    <w:qFormat/>
    <w:uiPriority w:val="0"/>
    <w:pPr>
      <w:ind w:firstLine="420"/>
    </w:pPr>
    <w:rPr>
      <w:szCs w:val="20"/>
    </w:rPr>
  </w:style>
  <w:style w:type="paragraph" w:styleId="7">
    <w:name w:val="annotation text"/>
    <w:basedOn w:val="1"/>
    <w:link w:val="34"/>
    <w:semiHidden/>
    <w:unhideWhenUsed/>
    <w:qFormat/>
    <w:uiPriority w:val="99"/>
    <w:pPr>
      <w:jc w:val="left"/>
    </w:pPr>
  </w:style>
  <w:style w:type="paragraph" w:styleId="8">
    <w:name w:val="Balloon Text"/>
    <w:basedOn w:val="1"/>
    <w:link w:val="33"/>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annotation subject"/>
    <w:basedOn w:val="7"/>
    <w:next w:val="7"/>
    <w:link w:val="35"/>
    <w:semiHidden/>
    <w:unhideWhenUsed/>
    <w:qFormat/>
    <w:uiPriority w:val="99"/>
    <w:rPr>
      <w:b/>
      <w:bCs/>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bCs/>
    </w:rPr>
  </w:style>
  <w:style w:type="character" w:styleId="17">
    <w:name w:val="annotation reference"/>
    <w:basedOn w:val="15"/>
    <w:semiHidden/>
    <w:unhideWhenUsed/>
    <w:qFormat/>
    <w:uiPriority w:val="99"/>
    <w:rPr>
      <w:sz w:val="21"/>
      <w:szCs w:val="21"/>
    </w:rPr>
  </w:style>
  <w:style w:type="character" w:customStyle="1" w:styleId="18">
    <w:name w:val="页眉 Char"/>
    <w:basedOn w:val="15"/>
    <w:link w:val="10"/>
    <w:qFormat/>
    <w:uiPriority w:val="99"/>
    <w:rPr>
      <w:sz w:val="18"/>
      <w:szCs w:val="18"/>
    </w:rPr>
  </w:style>
  <w:style w:type="character" w:customStyle="1" w:styleId="19">
    <w:name w:val="页脚 Char"/>
    <w:basedOn w:val="15"/>
    <w:link w:val="9"/>
    <w:qFormat/>
    <w:uiPriority w:val="99"/>
    <w:rPr>
      <w:sz w:val="18"/>
      <w:szCs w:val="18"/>
    </w:rPr>
  </w:style>
  <w:style w:type="character" w:customStyle="1" w:styleId="20">
    <w:name w:val="customize__projectname"/>
    <w:basedOn w:val="15"/>
    <w:qFormat/>
    <w:uiPriority w:val="0"/>
  </w:style>
  <w:style w:type="character" w:customStyle="1" w:styleId="21">
    <w:name w:val="customize_package_no"/>
    <w:basedOn w:val="15"/>
    <w:qFormat/>
    <w:uiPriority w:val="0"/>
  </w:style>
  <w:style w:type="character" w:customStyle="1" w:styleId="22">
    <w:name w:val="customize_project_code"/>
    <w:basedOn w:val="15"/>
    <w:qFormat/>
    <w:uiPriority w:val="0"/>
  </w:style>
  <w:style w:type="character" w:customStyle="1" w:styleId="23">
    <w:name w:val="customize_package_name"/>
    <w:basedOn w:val="15"/>
    <w:qFormat/>
    <w:uiPriority w:val="0"/>
  </w:style>
  <w:style w:type="character" w:customStyle="1" w:styleId="24">
    <w:name w:val="customize_expertlist"/>
    <w:basedOn w:val="15"/>
    <w:qFormat/>
    <w:uiPriority w:val="0"/>
  </w:style>
  <w:style w:type="character" w:customStyle="1" w:styleId="25">
    <w:name w:val="customize_cgr"/>
    <w:basedOn w:val="15"/>
    <w:qFormat/>
    <w:uiPriority w:val="0"/>
  </w:style>
  <w:style w:type="character" w:customStyle="1" w:styleId="26">
    <w:name w:val="customize_cgrdz"/>
    <w:basedOn w:val="15"/>
    <w:qFormat/>
    <w:uiPriority w:val="0"/>
  </w:style>
  <w:style w:type="character" w:customStyle="1" w:styleId="27">
    <w:name w:val="customize_cgrdh"/>
    <w:basedOn w:val="15"/>
    <w:qFormat/>
    <w:uiPriority w:val="0"/>
  </w:style>
  <w:style w:type="character" w:customStyle="1" w:styleId="28">
    <w:name w:val="customize_agent"/>
    <w:basedOn w:val="15"/>
    <w:qFormat/>
    <w:uiPriority w:val="0"/>
  </w:style>
  <w:style w:type="character" w:customStyle="1" w:styleId="29">
    <w:name w:val="customize_agentadd"/>
    <w:basedOn w:val="15"/>
    <w:qFormat/>
    <w:uiPriority w:val="0"/>
  </w:style>
  <w:style w:type="character" w:customStyle="1" w:styleId="30">
    <w:name w:val="customize_agenttel"/>
    <w:basedOn w:val="15"/>
    <w:qFormat/>
    <w:uiPriority w:val="0"/>
  </w:style>
  <w:style w:type="character" w:customStyle="1" w:styleId="31">
    <w:name w:val="customize_cgrtelman"/>
    <w:basedOn w:val="15"/>
    <w:qFormat/>
    <w:uiPriority w:val="0"/>
  </w:style>
  <w:style w:type="character" w:customStyle="1" w:styleId="32">
    <w:name w:val="customize_noticefbrq"/>
    <w:basedOn w:val="15"/>
    <w:qFormat/>
    <w:uiPriority w:val="0"/>
  </w:style>
  <w:style w:type="character" w:customStyle="1" w:styleId="33">
    <w:name w:val="批注框文本 Char"/>
    <w:basedOn w:val="15"/>
    <w:link w:val="8"/>
    <w:semiHidden/>
    <w:qFormat/>
    <w:uiPriority w:val="99"/>
    <w:rPr>
      <w:sz w:val="18"/>
      <w:szCs w:val="18"/>
    </w:rPr>
  </w:style>
  <w:style w:type="character" w:customStyle="1" w:styleId="34">
    <w:name w:val="批注文字 Char"/>
    <w:basedOn w:val="15"/>
    <w:link w:val="7"/>
    <w:semiHidden/>
    <w:qFormat/>
    <w:uiPriority w:val="99"/>
  </w:style>
  <w:style w:type="character" w:customStyle="1" w:styleId="35">
    <w:name w:val="批注主题 Char"/>
    <w:basedOn w:val="34"/>
    <w:link w:val="12"/>
    <w:semiHidden/>
    <w:qFormat/>
    <w:uiPriority w:val="99"/>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01B5E-D858-4746-83A4-3E6EF5FB5DC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1037</Words>
  <Characters>1207</Characters>
  <Lines>9</Lines>
  <Paragraphs>2</Paragraphs>
  <TotalTime>19</TotalTime>
  <ScaleCrop>false</ScaleCrop>
  <LinksUpToDate>false</LinksUpToDate>
  <CharactersWithSpaces>1324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2020-07-02T07:57:00Z</dcterms:created>
  <dc:creator>陈云</dc:creator>
  <cp:lastModifiedBy>Administrator</cp:lastModifiedBy>
  <dcterms:modified xsi:type="dcterms:W3CDTF">2026-09-16T06:54:09Z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eyJoZGlkIjoiNjdlNThkMjgyMWZmZmExZDZmNWYzYjk2ZDA0MTk2MjkiLCJ1c2VySWQiOiI0MjkxODE2NzUifQ==</vt:lpwstr>
  </property>
  <property fmtid="{D5CDD505-2E9C-101B-9397-08002B2CF9AE}" pid="3" name="KSOProductBuildVer">
    <vt:lpwstr>2052-12.1.0.28505</vt:lpwstr>
  </property>
  <property fmtid="{D5CDD505-2E9C-101B-9397-08002B2CF9AE}" pid="4" name="ICV">
    <vt:lpwstr>BD0F47F3A0DA4D0A94CEE73402D6F701_12</vt:lpwstr>
  </property>
</Properties>
</file>