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eastAsia="方正仿宋简体"/>
          <w:sz w:val="30"/>
        </w:rPr>
      </w:pPr>
    </w:p>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福州职业技术学院</w:t>
      </w: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关于做好岁末年初学校安全防范工作</w:t>
      </w:r>
    </w:p>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暨</w:t>
      </w:r>
      <w:r>
        <w:rPr>
          <w:rFonts w:hint="eastAsia" w:ascii="方正小标宋简体" w:hAnsi="方正小标宋简体" w:eastAsia="方正小标宋简体" w:cs="方正小标宋简体"/>
          <w:b/>
          <w:sz w:val="36"/>
          <w:szCs w:val="36"/>
          <w:lang w:val="en-US" w:eastAsia="zh-CN"/>
        </w:rPr>
        <w:t>2021年寒假</w:t>
      </w:r>
      <w:r>
        <w:rPr>
          <w:rFonts w:hint="eastAsia" w:ascii="方正小标宋简体" w:hAnsi="方正小标宋简体" w:eastAsia="方正小标宋简体" w:cs="方正小标宋简体"/>
          <w:b/>
          <w:sz w:val="36"/>
          <w:szCs w:val="36"/>
          <w:lang w:eastAsia="zh-CN"/>
        </w:rPr>
        <w:t>期末校园安全</w:t>
      </w:r>
      <w:r>
        <w:rPr>
          <w:rFonts w:hint="eastAsia" w:ascii="方正小标宋简体" w:hAnsi="方正小标宋简体" w:eastAsia="方正小标宋简体" w:cs="方正小标宋简体"/>
          <w:b/>
          <w:sz w:val="36"/>
          <w:szCs w:val="36"/>
          <w:lang w:eastAsia="zh-CN"/>
        </w:rPr>
        <w:t>自查自纠</w:t>
      </w:r>
      <w:r>
        <w:rPr>
          <w:rFonts w:hint="eastAsia" w:ascii="方正小标宋简体" w:hAnsi="方正小标宋简体" w:eastAsia="方正小标宋简体" w:cs="方正小标宋简体"/>
          <w:b/>
          <w:sz w:val="36"/>
          <w:szCs w:val="36"/>
        </w:rPr>
        <w:t xml:space="preserve">方案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各处室、二级学院</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auto"/>
          <w:sz w:val="32"/>
          <w:szCs w:val="32"/>
        </w:rPr>
      </w:pPr>
      <w:r>
        <w:rPr>
          <w:rFonts w:hint="eastAsia" w:ascii="仿宋_GB2312" w:eastAsia="仿宋_GB2312"/>
          <w:color w:val="auto"/>
          <w:sz w:val="32"/>
          <w:szCs w:val="32"/>
          <w:lang w:eastAsia="zh-CN"/>
        </w:rPr>
        <w:t>根据《福州市教育局关于做好岁末年初学校安全防范工作的通知》（榕教安全</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color w:val="auto"/>
          <w:sz w:val="32"/>
          <w:szCs w:val="32"/>
          <w:lang w:val="en-US" w:eastAsia="zh-CN"/>
        </w:rPr>
        <w:t>2020</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color w:val="auto"/>
          <w:sz w:val="32"/>
          <w:szCs w:val="32"/>
          <w:lang w:val="en-US" w:eastAsia="zh-CN"/>
        </w:rPr>
        <w:t>33号</w:t>
      </w:r>
      <w:r>
        <w:rPr>
          <w:rFonts w:hint="eastAsia" w:ascii="仿宋_GB2312" w:eastAsia="仿宋_GB2312"/>
          <w:color w:val="auto"/>
          <w:sz w:val="32"/>
          <w:szCs w:val="32"/>
          <w:lang w:eastAsia="zh-CN"/>
        </w:rPr>
        <w:t>）精神，结合学校实际，制定如下实施方案。</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z w:val="32"/>
          <w:szCs w:val="32"/>
          <w:lang w:eastAsia="zh-CN"/>
        </w:rPr>
      </w:pPr>
      <w:r>
        <w:rPr>
          <w:rFonts w:hint="eastAsia" w:ascii="黑体" w:hAnsi="黑体" w:eastAsia="黑体" w:cs="黑体"/>
          <w:color w:val="auto"/>
          <w:sz w:val="32"/>
          <w:szCs w:val="32"/>
        </w:rPr>
        <w:t>一、加强宣传动员。</w:t>
      </w:r>
      <w:r>
        <w:rPr>
          <w:rFonts w:hint="eastAsia" w:ascii="仿宋_GB2312" w:eastAsia="仿宋_GB2312"/>
          <w:color w:val="auto"/>
          <w:sz w:val="32"/>
          <w:szCs w:val="32"/>
          <w:lang w:eastAsia="zh-CN"/>
        </w:rPr>
        <w:t>各单位</w:t>
      </w:r>
      <w:r>
        <w:rPr>
          <w:rFonts w:hint="eastAsia" w:ascii="仿宋_GB2312" w:eastAsia="仿宋_GB2312"/>
          <w:color w:val="auto"/>
          <w:sz w:val="32"/>
          <w:szCs w:val="32"/>
        </w:rPr>
        <w:t>要高度重视，及时传达省安委会、省教育厅安全工作部署，压紧压实党政领导责任、部门监管责任、</w:t>
      </w:r>
      <w:r>
        <w:rPr>
          <w:rFonts w:hint="eastAsia" w:ascii="仿宋_GB2312" w:eastAsia="仿宋_GB2312"/>
          <w:color w:val="auto"/>
          <w:sz w:val="32"/>
          <w:szCs w:val="32"/>
          <w:lang w:eastAsia="zh-CN"/>
        </w:rPr>
        <w:t>各单位</w:t>
      </w:r>
      <w:r>
        <w:rPr>
          <w:rFonts w:hint="eastAsia" w:ascii="仿宋_GB2312" w:eastAsia="仿宋_GB2312"/>
          <w:color w:val="auto"/>
          <w:sz w:val="32"/>
          <w:szCs w:val="32"/>
        </w:rPr>
        <w:t>主体责任和岗位安全责任。适时召开会议进行宣传动员。针对冬春季节，以文明安全燃放烟花爆竹、交通安全、用电用火、防拐防骗等内容为重点，开展各种形式的安全教育、演练，切实增强师生安全意识</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（责任部门：各处室、各二级学院）</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b/>
          <w:bCs/>
          <w:color w:val="auto"/>
          <w:sz w:val="32"/>
          <w:szCs w:val="32"/>
          <w:lang w:eastAsia="zh-CN"/>
        </w:rPr>
      </w:pPr>
      <w:r>
        <w:rPr>
          <w:rFonts w:hint="eastAsia" w:ascii="黑体" w:hAnsi="黑体" w:eastAsia="黑体" w:cs="黑体"/>
          <w:color w:val="auto"/>
          <w:sz w:val="32"/>
          <w:szCs w:val="32"/>
        </w:rPr>
        <w:t>二、有效防控风险。</w:t>
      </w:r>
      <w:r>
        <w:rPr>
          <w:rFonts w:hint="eastAsia" w:ascii="仿宋_GB2312" w:eastAsia="仿宋_GB2312"/>
          <w:color w:val="auto"/>
          <w:sz w:val="32"/>
          <w:szCs w:val="32"/>
        </w:rPr>
        <w:t>要持续深入开展学校安全专项整治三年行动和安全隐患大排查大整治，坚决把查大风险、除大隐患作为重中之重。要突出抓好校舍、消防、食品、校车、防自然灾害、实验室危险化学品、特种设备、校园及周边治安等重点工作，全面开展一次安全风险摸排和隐患问题自查自纠，加强值班值守和应急准备，落实有效防护措施。</w:t>
      </w:r>
      <w:r>
        <w:rPr>
          <w:rFonts w:hint="eastAsia" w:ascii="仿宋_GB2312" w:eastAsia="仿宋_GB2312"/>
          <w:b/>
          <w:bCs/>
          <w:color w:val="auto"/>
          <w:sz w:val="32"/>
          <w:szCs w:val="32"/>
          <w:lang w:eastAsia="zh-CN"/>
        </w:rPr>
        <w:t>（责任部门：校长办公室、保卫处、后勤处、学生工作处、产学研与实训中心、各二级学院）</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z w:val="32"/>
          <w:lang w:eastAsia="zh-CN"/>
        </w:rPr>
      </w:pPr>
      <w:r>
        <w:rPr>
          <w:rFonts w:hint="eastAsia" w:ascii="仿宋_GB2312" w:eastAsia="仿宋_GB2312"/>
          <w:b/>
          <w:bCs/>
          <w:color w:val="auto"/>
          <w:sz w:val="32"/>
          <w:szCs w:val="32"/>
        </w:rPr>
        <w:t>1.</w:t>
      </w:r>
      <w:r>
        <w:rPr>
          <w:rFonts w:hint="eastAsia" w:ascii="仿宋_GB2312" w:eastAsia="仿宋_GB2312"/>
          <w:b/>
          <w:bCs/>
          <w:color w:val="auto"/>
          <w:sz w:val="32"/>
        </w:rPr>
        <w:t xml:space="preserve"> 校园安防。</w:t>
      </w:r>
      <w:r>
        <w:rPr>
          <w:rFonts w:hint="eastAsia" w:ascii="仿宋_GB2312" w:eastAsia="仿宋_GB2312"/>
          <w:color w:val="auto"/>
          <w:sz w:val="32"/>
        </w:rPr>
        <w:t>落实治安管理防范措施，</w:t>
      </w:r>
      <w:r>
        <w:rPr>
          <w:rFonts w:hint="eastAsia" w:ascii="仿宋_GB2312" w:eastAsia="仿宋_GB2312"/>
          <w:color w:val="auto"/>
          <w:sz w:val="32"/>
          <w:lang w:eastAsia="zh-CN"/>
        </w:rPr>
        <w:t>按照疫情防控规定要求，</w:t>
      </w:r>
      <w:r>
        <w:rPr>
          <w:rFonts w:hint="eastAsia" w:ascii="仿宋_GB2312" w:eastAsia="仿宋_GB2312"/>
          <w:color w:val="auto"/>
          <w:sz w:val="32"/>
          <w:szCs w:val="32"/>
        </w:rPr>
        <w:t>实行</w:t>
      </w:r>
      <w:r>
        <w:rPr>
          <w:rFonts w:hint="eastAsia" w:ascii="仿宋_GB2312" w:eastAsia="仿宋_GB2312"/>
          <w:color w:val="auto"/>
          <w:sz w:val="32"/>
          <w:szCs w:val="32"/>
          <w:lang w:eastAsia="zh-CN"/>
        </w:rPr>
        <w:t>门禁</w:t>
      </w:r>
      <w:r>
        <w:rPr>
          <w:rFonts w:hint="eastAsia" w:ascii="仿宋_GB2312" w:eastAsia="仿宋_GB2312"/>
          <w:color w:val="auto"/>
          <w:sz w:val="32"/>
          <w:szCs w:val="32"/>
        </w:rPr>
        <w:t>管理；技防设施设备全覆盖、无死角、高清有效。</w:t>
      </w:r>
      <w:r>
        <w:rPr>
          <w:rFonts w:hint="eastAsia" w:ascii="仿宋_GB2312" w:eastAsia="仿宋_GB2312"/>
          <w:color w:val="auto"/>
          <w:sz w:val="32"/>
        </w:rPr>
        <w:t>配齐配足安全保卫力量，落实值班值守和巡逻工作等安全规定。严格落实门禁管理、点名、查寝等制度。落实每日巡校制度，加强夜间巡查。</w:t>
      </w:r>
      <w:r>
        <w:rPr>
          <w:rFonts w:hint="eastAsia" w:ascii="仿宋_GB2312" w:eastAsia="仿宋_GB2312"/>
          <w:b/>
          <w:bCs/>
          <w:color w:val="auto"/>
          <w:sz w:val="32"/>
          <w:szCs w:val="32"/>
          <w:lang w:eastAsia="zh-CN"/>
        </w:rPr>
        <w:t>（责任部门：校长办公室、保卫处、学生工作处、各二级学院）</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auto"/>
          <w:sz w:val="32"/>
          <w:szCs w:val="32"/>
        </w:rPr>
      </w:pPr>
      <w:r>
        <w:rPr>
          <w:rFonts w:hint="eastAsia" w:ascii="仿宋_GB2312" w:eastAsia="仿宋_GB2312"/>
          <w:b/>
          <w:bCs/>
          <w:color w:val="auto"/>
          <w:sz w:val="32"/>
        </w:rPr>
        <w:t>2.火灾防控。</w:t>
      </w:r>
      <w:r>
        <w:rPr>
          <w:rFonts w:hint="eastAsia" w:ascii="仿宋_GB2312" w:eastAsia="仿宋_GB2312"/>
          <w:color w:val="auto"/>
          <w:sz w:val="32"/>
        </w:rPr>
        <w:t>深入开展校园冬春火灾防控工作，</w:t>
      </w:r>
      <w:r>
        <w:rPr>
          <w:rFonts w:hint="eastAsia" w:ascii="仿宋_GB2312" w:hAnsi="仿宋_GB2312" w:eastAsia="仿宋_GB2312" w:cs="仿宋_GB2312"/>
          <w:color w:val="auto"/>
          <w:sz w:val="32"/>
          <w:szCs w:val="32"/>
        </w:rPr>
        <w:t>严格落实消防管理制度，及时整改火灾隐患。</w:t>
      </w:r>
      <w:r>
        <w:rPr>
          <w:rFonts w:hint="eastAsia" w:ascii="仿宋_GB2312" w:eastAsia="仿宋_GB2312"/>
          <w:color w:val="auto"/>
          <w:sz w:val="32"/>
          <w:szCs w:val="32"/>
        </w:rPr>
        <w:t>元旦、春节和元宵节及重大活动期间，要提升防火等级，紧盯烟花焰火燃放、临时设施搭建、电气线路敷设等环节，落实防范措施；加强电动车充电、学生宿舍管理，加强防火巡查和夜间值守。</w:t>
      </w:r>
      <w:r>
        <w:rPr>
          <w:rFonts w:hint="eastAsia" w:ascii="仿宋_GB2312" w:eastAsia="仿宋_GB2312"/>
          <w:b/>
          <w:bCs/>
          <w:color w:val="auto"/>
          <w:sz w:val="32"/>
          <w:szCs w:val="32"/>
          <w:lang w:eastAsia="zh-CN"/>
        </w:rPr>
        <w:t>（责任部门：保卫处、学生工作处、后勤管理处、各二级学院）</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z w:val="32"/>
          <w:lang w:eastAsia="zh-CN"/>
        </w:rPr>
      </w:pPr>
      <w:r>
        <w:rPr>
          <w:rFonts w:hint="eastAsia" w:ascii="仿宋_GB2312" w:eastAsia="仿宋_GB2312"/>
          <w:b/>
          <w:bCs/>
          <w:color w:val="auto"/>
          <w:sz w:val="32"/>
          <w:szCs w:val="32"/>
        </w:rPr>
        <w:t>3.食品安全。</w:t>
      </w:r>
      <w:r>
        <w:rPr>
          <w:rFonts w:hint="eastAsia" w:ascii="仿宋_GB2312" w:eastAsia="仿宋_GB2312"/>
          <w:color w:val="auto"/>
          <w:sz w:val="32"/>
          <w:szCs w:val="32"/>
        </w:rPr>
        <w:t>落实</w:t>
      </w:r>
      <w:r>
        <w:rPr>
          <w:rFonts w:hint="eastAsia" w:ascii="仿宋_GB2312" w:eastAsia="仿宋_GB2312"/>
          <w:color w:val="auto"/>
          <w:sz w:val="32"/>
        </w:rPr>
        <w:t>食品安全管理和责任追究制度，加强校内食堂、小卖部等食品生产经营单位的日常管理。食堂环境、设备应符合卫生标准，采购、存储、加工、留样等环节应符合规范并建立健全管理台账，推进明厨亮灶互联网+。配合有关部门开展学校食堂及校园周边食品安全执法检查，强化师生食品安全保障。</w:t>
      </w:r>
      <w:r>
        <w:rPr>
          <w:rFonts w:hint="eastAsia" w:ascii="仿宋_GB2312" w:eastAsia="仿宋_GB2312"/>
          <w:b/>
          <w:bCs/>
          <w:color w:val="auto"/>
          <w:sz w:val="32"/>
          <w:szCs w:val="32"/>
          <w:lang w:eastAsia="zh-CN"/>
        </w:rPr>
        <w:t>（责任部门：后勤管理处）</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auto"/>
          <w:sz w:val="32"/>
          <w:szCs w:val="32"/>
        </w:rPr>
      </w:pPr>
      <w:r>
        <w:rPr>
          <w:rFonts w:hint="eastAsia" w:ascii="仿宋_GB2312" w:eastAsia="仿宋_GB2312"/>
          <w:b/>
          <w:bCs/>
          <w:color w:val="auto"/>
          <w:sz w:val="32"/>
        </w:rPr>
        <w:t>4.交通安全。</w:t>
      </w:r>
      <w:r>
        <w:rPr>
          <w:rFonts w:hint="eastAsia" w:ascii="仿宋_GB2312" w:eastAsia="仿宋_GB2312"/>
          <w:color w:val="auto"/>
          <w:sz w:val="32"/>
        </w:rPr>
        <w:t>严格落实《校车安全管理条例》及福建省实施办法，规范校车管理，</w:t>
      </w:r>
      <w:r>
        <w:rPr>
          <w:rFonts w:hint="eastAsia" w:ascii="仿宋_GB2312" w:eastAsia="仿宋_GB2312"/>
          <w:color w:val="auto"/>
          <w:sz w:val="32"/>
          <w:lang w:eastAsia="zh-CN"/>
        </w:rPr>
        <w:t>协同配合交警和交通运管部门，</w:t>
      </w:r>
      <w:r>
        <w:rPr>
          <w:rFonts w:hint="eastAsia" w:ascii="仿宋_GB2312" w:eastAsia="仿宋_GB2312"/>
          <w:color w:val="auto"/>
          <w:sz w:val="32"/>
        </w:rPr>
        <w:t>严查校车违法行为及违法营运车辆接送学生行为。</w:t>
      </w:r>
      <w:r>
        <w:rPr>
          <w:rFonts w:hint="eastAsia" w:ascii="仿宋_GB2312" w:hAnsi="Arial" w:eastAsia="仿宋_GB2312" w:cs="Arial"/>
          <w:color w:val="auto"/>
          <w:spacing w:val="11"/>
          <w:sz w:val="32"/>
          <w:szCs w:val="32"/>
        </w:rPr>
        <w:t>配合公安部门维持交通秩序，严防</w:t>
      </w:r>
      <w:r>
        <w:rPr>
          <w:rFonts w:hint="eastAsia" w:ascii="仿宋_GB2312" w:hAnsi="Arial" w:eastAsia="仿宋_GB2312" w:cs="Arial"/>
          <w:color w:val="auto"/>
          <w:spacing w:val="11"/>
          <w:sz w:val="32"/>
          <w:szCs w:val="32"/>
          <w:lang w:eastAsia="zh-CN"/>
        </w:rPr>
        <w:t>学校周边道路</w:t>
      </w:r>
      <w:r>
        <w:rPr>
          <w:rFonts w:hint="eastAsia" w:ascii="仿宋_GB2312" w:hAnsi="Arial" w:eastAsia="仿宋_GB2312" w:cs="Arial"/>
          <w:color w:val="auto"/>
          <w:spacing w:val="11"/>
          <w:sz w:val="32"/>
          <w:szCs w:val="32"/>
        </w:rPr>
        <w:t>交通拥堵</w:t>
      </w:r>
      <w:r>
        <w:rPr>
          <w:rFonts w:hint="eastAsia" w:ascii="仿宋_GB2312" w:hAnsi="Arial" w:eastAsia="仿宋_GB2312" w:cs="Arial"/>
          <w:color w:val="auto"/>
          <w:spacing w:val="11"/>
          <w:sz w:val="32"/>
          <w:szCs w:val="32"/>
          <w:lang w:eastAsia="zh-CN"/>
        </w:rPr>
        <w:t>，</w:t>
      </w:r>
      <w:r>
        <w:rPr>
          <w:rFonts w:hint="eastAsia" w:ascii="仿宋_GB2312" w:hAnsi="Arial" w:eastAsia="仿宋_GB2312" w:cs="Arial"/>
          <w:color w:val="auto"/>
          <w:spacing w:val="11"/>
          <w:sz w:val="32"/>
          <w:szCs w:val="32"/>
        </w:rPr>
        <w:t>引发安全事故。节假日前要提醒学生、家长注意来返校及假期出行安全。</w:t>
      </w:r>
      <w:r>
        <w:rPr>
          <w:rFonts w:hint="eastAsia" w:ascii="仿宋_GB2312" w:eastAsia="仿宋_GB2312"/>
          <w:b/>
          <w:bCs/>
          <w:color w:val="auto"/>
          <w:sz w:val="32"/>
          <w:szCs w:val="32"/>
          <w:lang w:eastAsia="zh-CN"/>
        </w:rPr>
        <w:t>（责任部门：保卫处、学生工作处、各二级学院）</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auto"/>
          <w:sz w:val="32"/>
          <w:szCs w:val="32"/>
        </w:rPr>
      </w:pPr>
      <w:r>
        <w:rPr>
          <w:rFonts w:hint="eastAsia" w:ascii="仿宋_GB2312" w:eastAsia="仿宋_GB2312"/>
          <w:b/>
          <w:bCs/>
          <w:color w:val="auto"/>
          <w:sz w:val="32"/>
          <w:szCs w:val="32"/>
        </w:rPr>
        <w:t>5.</w:t>
      </w:r>
      <w:r>
        <w:rPr>
          <w:rFonts w:hint="eastAsia" w:ascii="仿宋_GB2312" w:eastAsia="仿宋_GB2312"/>
          <w:b/>
          <w:bCs/>
          <w:color w:val="auto"/>
          <w:sz w:val="32"/>
        </w:rPr>
        <w:t xml:space="preserve"> 实验室及危险化学品。</w:t>
      </w:r>
      <w:r>
        <w:rPr>
          <w:rFonts w:hint="eastAsia" w:ascii="仿宋_GB2312" w:eastAsia="仿宋_GB2312"/>
          <w:color w:val="auto"/>
          <w:sz w:val="32"/>
        </w:rPr>
        <w:t>落实</w:t>
      </w:r>
      <w:r>
        <w:rPr>
          <w:rFonts w:ascii="仿宋_GB2312" w:eastAsia="仿宋_GB2312"/>
          <w:color w:val="auto"/>
          <w:sz w:val="32"/>
        </w:rPr>
        <w:t>危险化学品和</w:t>
      </w:r>
      <w:r>
        <w:rPr>
          <w:rFonts w:hint="eastAsia" w:ascii="仿宋_GB2312" w:eastAsia="仿宋_GB2312"/>
          <w:color w:val="auto"/>
          <w:sz w:val="32"/>
        </w:rPr>
        <w:t>实验室安全领导责任制、日常管理制度等。严格实验室危险化学品购买、储存、使用、回收和销毁各环节全过程管控，切实消除监管死角和盲区；对易燃易爆、剧毒化学品的安全管理要严格做到“四无一保”</w:t>
      </w:r>
      <w:r>
        <w:rPr>
          <w:rFonts w:hint="eastAsia" w:ascii="仿宋_GB2312" w:hAnsi="仿宋_GB2312" w:eastAsia="仿宋_GB2312" w:cs="仿宋_GB2312"/>
          <w:color w:val="auto"/>
          <w:sz w:val="32"/>
          <w:szCs w:val="32"/>
        </w:rPr>
        <w:t>（即无被盗、无事故、无丢失、无违章，保安全）</w:t>
      </w:r>
      <w:r>
        <w:rPr>
          <w:rFonts w:hint="eastAsia" w:ascii="仿宋_GB2312" w:eastAsia="仿宋_GB2312"/>
          <w:color w:val="auto"/>
          <w:sz w:val="32"/>
        </w:rPr>
        <w:t>；对危险化学品中的毒害品，要参照剧毒化学品的管理要求，落实“五双”</w:t>
      </w:r>
      <w:r>
        <w:rPr>
          <w:rFonts w:hint="eastAsia" w:ascii="仿宋_GB2312" w:hAnsi="仿宋_GB2312" w:eastAsia="仿宋_GB2312" w:cs="仿宋_GB2312"/>
          <w:color w:val="auto"/>
          <w:sz w:val="32"/>
          <w:szCs w:val="32"/>
        </w:rPr>
        <w:t>（即“双人保管、双人领取、双人使用、双把锁、双本帐”）</w:t>
      </w:r>
      <w:r>
        <w:rPr>
          <w:rFonts w:hint="eastAsia" w:ascii="仿宋_GB2312" w:eastAsia="仿宋_GB2312"/>
          <w:color w:val="auto"/>
          <w:sz w:val="32"/>
        </w:rPr>
        <w:t>管理制度</w:t>
      </w:r>
      <w:r>
        <w:rPr>
          <w:rFonts w:hint="eastAsia" w:ascii="仿宋_GB2312" w:hAnsi="仿宋_GB2312" w:eastAsia="仿宋_GB2312" w:cs="仿宋_GB2312"/>
          <w:color w:val="auto"/>
          <w:sz w:val="32"/>
          <w:szCs w:val="32"/>
        </w:rPr>
        <w:t>。</w:t>
      </w:r>
      <w:r>
        <w:rPr>
          <w:rFonts w:hint="eastAsia" w:ascii="仿宋_GB2312" w:eastAsia="仿宋_GB2312"/>
          <w:color w:val="auto"/>
          <w:sz w:val="32"/>
        </w:rPr>
        <w:t>寒假前要对危险化学品库存进行清点核对，检查</w:t>
      </w:r>
      <w:r>
        <w:rPr>
          <w:rFonts w:hint="eastAsia" w:ascii="仿宋_GB2312" w:hAnsi="仿宋_GB2312" w:eastAsia="仿宋_GB2312" w:cs="仿宋_GB2312"/>
          <w:color w:val="auto"/>
          <w:sz w:val="32"/>
          <w:szCs w:val="32"/>
        </w:rPr>
        <w:t>防火、防爆和防盗等安全措施</w:t>
      </w:r>
      <w:r>
        <w:rPr>
          <w:rFonts w:hint="eastAsia" w:ascii="仿宋_GB2312" w:eastAsia="仿宋_GB2312"/>
          <w:color w:val="auto"/>
          <w:sz w:val="32"/>
        </w:rPr>
        <w:t>。</w:t>
      </w:r>
      <w:r>
        <w:rPr>
          <w:rFonts w:hint="eastAsia" w:ascii="仿宋_GB2312" w:eastAsia="仿宋_GB2312"/>
          <w:b/>
          <w:bCs/>
          <w:color w:val="auto"/>
          <w:sz w:val="32"/>
          <w:szCs w:val="32"/>
          <w:lang w:eastAsia="zh-CN"/>
        </w:rPr>
        <w:t>（责任部门：产学院与实训中心、各二级学院）</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auto"/>
          <w:sz w:val="32"/>
          <w:szCs w:val="32"/>
        </w:rPr>
      </w:pPr>
      <w:r>
        <w:rPr>
          <w:rFonts w:hint="eastAsia" w:ascii="仿宋_GB2312" w:eastAsia="仿宋_GB2312"/>
          <w:b/>
          <w:bCs/>
          <w:color w:val="auto"/>
          <w:sz w:val="32"/>
          <w:szCs w:val="32"/>
        </w:rPr>
        <w:t>6.集体活动。</w:t>
      </w:r>
      <w:r>
        <w:rPr>
          <w:rFonts w:hint="eastAsia" w:ascii="仿宋_GB2312" w:eastAsia="仿宋_GB2312"/>
          <w:color w:val="auto"/>
          <w:sz w:val="32"/>
          <w:szCs w:val="32"/>
          <w:lang w:val="zh-TW"/>
        </w:rPr>
        <w:t>学校主要领导</w:t>
      </w:r>
      <w:r>
        <w:rPr>
          <w:rFonts w:hint="eastAsia" w:ascii="仿宋_GB2312" w:eastAsia="仿宋_GB2312"/>
          <w:color w:val="auto"/>
          <w:sz w:val="32"/>
          <w:szCs w:val="32"/>
          <w:lang w:val="zh-TW" w:eastAsia="zh-CN"/>
        </w:rPr>
        <w:t>、各处室、二级学院负责人，</w:t>
      </w:r>
      <w:r>
        <w:rPr>
          <w:rFonts w:hint="eastAsia" w:ascii="仿宋_GB2312" w:eastAsia="仿宋_GB2312"/>
          <w:color w:val="auto"/>
          <w:sz w:val="32"/>
          <w:szCs w:val="32"/>
          <w:lang w:val="zh-TW"/>
        </w:rPr>
        <w:t>要对学生集体活动的必要性、可行性及安全性进行审核把关，特别是要对人员规模、活动地点、交通饮食、安全预案等从严把关，并安排足够的教师参与全过程活动，必要时安排校医或其他专业人员随行。</w:t>
      </w:r>
      <w:r>
        <w:rPr>
          <w:rFonts w:hint="eastAsia" w:ascii="仿宋_GB2312" w:eastAsia="仿宋_GB2312"/>
          <w:color w:val="auto"/>
          <w:sz w:val="32"/>
          <w:szCs w:val="32"/>
        </w:rPr>
        <w:t>集体活动前，学校有关负责人应事先“踩点”，全面了解活动场所和活动路线安全状况，排查消除安全隐患，提前预判风险，加强安全措施，并做好应急处置准备。</w:t>
      </w:r>
      <w:r>
        <w:rPr>
          <w:rFonts w:hint="eastAsia" w:ascii="仿宋_GB2312" w:eastAsia="仿宋_GB2312"/>
          <w:color w:val="auto"/>
          <w:sz w:val="32"/>
          <w:szCs w:val="32"/>
          <w:lang w:val="zh-TW"/>
        </w:rPr>
        <w:t>活动前要做好师生的安全教育，将活动的时间、地点、要求等告知家长，取得家长的支持和配合。</w:t>
      </w:r>
      <w:r>
        <w:rPr>
          <w:rFonts w:hint="eastAsia" w:ascii="仿宋_GB2312" w:eastAsia="仿宋_GB2312"/>
          <w:b/>
          <w:bCs/>
          <w:color w:val="auto"/>
          <w:sz w:val="32"/>
          <w:szCs w:val="32"/>
          <w:lang w:eastAsia="zh-CN"/>
        </w:rPr>
        <w:t>（责任部门：各处室、各二级学院）</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z w:val="32"/>
          <w:szCs w:val="32"/>
          <w:lang w:eastAsia="zh-CN"/>
        </w:rPr>
      </w:pPr>
      <w:r>
        <w:rPr>
          <w:rFonts w:hint="eastAsia" w:ascii="黑体" w:hAnsi="黑体" w:eastAsia="黑体" w:cs="黑体"/>
          <w:color w:val="auto"/>
          <w:sz w:val="32"/>
          <w:szCs w:val="32"/>
        </w:rPr>
        <w:t>三、强化督导检查。</w:t>
      </w:r>
      <w:r>
        <w:rPr>
          <w:rFonts w:hint="eastAsia" w:ascii="仿宋_GB2312" w:eastAsia="仿宋_GB2312"/>
          <w:color w:val="auto"/>
          <w:sz w:val="32"/>
          <w:szCs w:val="32"/>
        </w:rPr>
        <w:t>市教育局将结合年度安全考核及学校安全隐患大排查大整治攻坚行动情况，</w:t>
      </w:r>
      <w:r>
        <w:rPr>
          <w:rFonts w:hint="eastAsia" w:ascii="仿宋_GB2312" w:eastAsia="仿宋_GB2312"/>
          <w:color w:val="auto"/>
          <w:sz w:val="32"/>
        </w:rPr>
        <w:t>开展工作抽查和隐患治理“回头看”</w:t>
      </w:r>
      <w:r>
        <w:rPr>
          <w:rFonts w:hint="eastAsia" w:ascii="仿宋_GB2312" w:eastAsia="仿宋_GB2312"/>
          <w:color w:val="auto"/>
          <w:sz w:val="32"/>
          <w:szCs w:val="32"/>
        </w:rPr>
        <w:t>。</w:t>
      </w:r>
      <w:r>
        <w:rPr>
          <w:rFonts w:hint="eastAsia" w:ascii="仿宋_GB2312" w:eastAsia="仿宋_GB2312"/>
          <w:color w:val="auto"/>
          <w:sz w:val="32"/>
          <w:szCs w:val="32"/>
          <w:lang w:eastAsia="zh-CN"/>
        </w:rPr>
        <w:t>学校效能办</w:t>
      </w:r>
      <w:r>
        <w:rPr>
          <w:rFonts w:hint="eastAsia" w:ascii="仿宋_GB2312" w:eastAsia="仿宋_GB2312"/>
          <w:color w:val="auto"/>
          <w:sz w:val="32"/>
          <w:szCs w:val="32"/>
        </w:rPr>
        <w:t>也要加强岁末年初</w:t>
      </w:r>
      <w:r>
        <w:rPr>
          <w:rFonts w:hint="eastAsia" w:ascii="仿宋_GB2312" w:eastAsia="仿宋_GB2312"/>
          <w:color w:val="auto"/>
          <w:sz w:val="32"/>
          <w:szCs w:val="32"/>
          <w:lang w:eastAsia="zh-CN"/>
        </w:rPr>
        <w:t>各处室、二级学院所属的安全责任区</w:t>
      </w:r>
      <w:r>
        <w:rPr>
          <w:rFonts w:hint="eastAsia" w:ascii="仿宋_GB2312" w:eastAsia="仿宋_GB2312"/>
          <w:color w:val="auto"/>
          <w:sz w:val="32"/>
          <w:szCs w:val="32"/>
        </w:rPr>
        <w:t>工作的督查检查和指导服务，对事故多发、问题突出、整治缓慢的</w:t>
      </w:r>
      <w:r>
        <w:rPr>
          <w:rFonts w:hint="eastAsia" w:ascii="仿宋_GB2312" w:eastAsia="仿宋_GB2312"/>
          <w:color w:val="auto"/>
          <w:sz w:val="32"/>
          <w:szCs w:val="32"/>
          <w:lang w:eastAsia="zh-CN"/>
        </w:rPr>
        <w:t>部门单位</w:t>
      </w:r>
      <w:r>
        <w:rPr>
          <w:rFonts w:hint="eastAsia" w:ascii="仿宋_GB2312" w:eastAsia="仿宋_GB2312"/>
          <w:color w:val="auto"/>
          <w:sz w:val="32"/>
          <w:szCs w:val="32"/>
        </w:rPr>
        <w:t>加大检查力度。</w:t>
      </w:r>
      <w:r>
        <w:rPr>
          <w:rFonts w:hint="eastAsia" w:ascii="仿宋_GB2312" w:eastAsia="仿宋_GB2312"/>
          <w:color w:val="auto"/>
          <w:sz w:val="32"/>
          <w:szCs w:val="32"/>
          <w:lang w:eastAsia="zh-CN"/>
        </w:rPr>
        <w:t>（责任部门：效能办）。</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z w:val="32"/>
          <w:szCs w:val="32"/>
          <w:lang w:eastAsia="zh-CN"/>
        </w:rPr>
      </w:pPr>
      <w:r>
        <w:rPr>
          <w:rFonts w:hint="eastAsia" w:ascii="仿宋_GB2312" w:eastAsia="仿宋_GB2312"/>
          <w:b/>
          <w:bCs/>
          <w:color w:val="auto"/>
          <w:sz w:val="32"/>
          <w:szCs w:val="32"/>
          <w:lang w:eastAsia="zh-CN"/>
        </w:rPr>
        <w:t>四、工作要求。</w:t>
      </w:r>
      <w:r>
        <w:rPr>
          <w:rFonts w:hint="eastAsia" w:ascii="仿宋_GB2312" w:eastAsia="仿宋_GB2312"/>
          <w:color w:val="auto"/>
          <w:sz w:val="32"/>
          <w:szCs w:val="32"/>
        </w:rPr>
        <w:t>请各</w:t>
      </w:r>
      <w:r>
        <w:rPr>
          <w:rFonts w:hint="eastAsia" w:ascii="仿宋_GB2312" w:eastAsia="仿宋_GB2312"/>
          <w:color w:val="auto"/>
          <w:sz w:val="32"/>
          <w:szCs w:val="32"/>
          <w:lang w:eastAsia="zh-CN"/>
        </w:rPr>
        <w:t>处室、二级学院</w:t>
      </w:r>
      <w:r>
        <w:rPr>
          <w:rFonts w:hint="eastAsia" w:ascii="仿宋_GB2312" w:eastAsia="仿宋_GB2312"/>
          <w:color w:val="auto"/>
          <w:sz w:val="32"/>
          <w:szCs w:val="32"/>
        </w:rPr>
        <w:t>于2021年1月</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日前</w:t>
      </w:r>
      <w:r>
        <w:rPr>
          <w:rFonts w:hint="eastAsia" w:ascii="仿宋_GB2312" w:eastAsia="仿宋_GB2312"/>
          <w:color w:val="auto"/>
          <w:sz w:val="32"/>
          <w:szCs w:val="32"/>
          <w:lang w:eastAsia="zh-CN"/>
        </w:rPr>
        <w:t>将自查自纠表格呈送保卫处上报教育局</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5"/>
        <w:jc w:val="left"/>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537" w:leftChars="608" w:hanging="1260" w:hangingChars="394"/>
        <w:jc w:val="left"/>
        <w:textAlignment w:val="auto"/>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《福建省教育厅转发福建省人民政府安委会办公室关于深刻吸取事故教训 做好岁末年初安全防范工作的通知》（闽教安</w:t>
      </w:r>
      <w:r>
        <w:rPr>
          <w:rFonts w:hint="eastAsia" w:ascii="宋体" w:hAnsi="宋体" w:eastAsia="宋体" w:cs="宋体"/>
          <w:color w:val="auto"/>
          <w:sz w:val="32"/>
          <w:szCs w:val="32"/>
        </w:rPr>
        <w:t>﹝</w:t>
      </w:r>
      <w:r>
        <w:rPr>
          <w:rFonts w:hint="eastAsia" w:ascii="仿宋_GB2312" w:eastAsia="仿宋_GB2312"/>
          <w:color w:val="auto"/>
          <w:sz w:val="32"/>
          <w:szCs w:val="32"/>
        </w:rPr>
        <w:t>2020</w:t>
      </w:r>
      <w:r>
        <w:rPr>
          <w:rFonts w:hint="eastAsia" w:ascii="宋体" w:hAnsi="宋体" w:eastAsia="宋体" w:cs="宋体"/>
          <w:color w:val="auto"/>
          <w:sz w:val="32"/>
          <w:szCs w:val="32"/>
        </w:rPr>
        <w:t>﹞</w:t>
      </w:r>
      <w:r>
        <w:rPr>
          <w:rFonts w:hint="eastAsia" w:ascii="仿宋_GB2312" w:eastAsia="仿宋_GB2312"/>
          <w:color w:val="auto"/>
          <w:sz w:val="32"/>
          <w:szCs w:val="32"/>
        </w:rPr>
        <w:t>15号）</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2554" w:leftChars="1064" w:hanging="320" w:hangingChars="1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福建省人民政府安委会办公</w:t>
      </w:r>
      <w:bookmarkStart w:id="0" w:name="_GoBack"/>
      <w:bookmarkEnd w:id="0"/>
      <w:r>
        <w:rPr>
          <w:rFonts w:hint="eastAsia" w:ascii="仿宋_GB2312" w:eastAsia="仿宋_GB2312"/>
          <w:color w:val="auto"/>
          <w:sz w:val="32"/>
          <w:szCs w:val="32"/>
        </w:rPr>
        <w:t>室关于深刻</w:t>
      </w:r>
      <w:r>
        <w:rPr>
          <w:rFonts w:hint="eastAsia" w:ascii="仿宋_GB2312" w:eastAsia="仿宋_GB2312"/>
          <w:color w:val="auto"/>
          <w:sz w:val="32"/>
          <w:szCs w:val="32"/>
          <w:lang w:eastAsia="zh-CN"/>
        </w:rPr>
        <w:t>吸取</w:t>
      </w:r>
      <w:r>
        <w:rPr>
          <w:rFonts w:hint="eastAsia" w:ascii="仿宋_GB2312" w:eastAsia="仿宋_GB2312"/>
          <w:color w:val="auto"/>
          <w:sz w:val="32"/>
          <w:szCs w:val="32"/>
        </w:rPr>
        <w:t>事故教训做好岁末年初安全防范工作的通知</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2554" w:leftChars="1064" w:hanging="320" w:hangingChars="100"/>
        <w:jc w:val="left"/>
        <w:textAlignment w:val="auto"/>
        <w:rPr>
          <w:rFonts w:hint="eastAsia" w:ascii="黑体" w:hAnsi="黑体" w:eastAsia="黑体" w:cs="黑体"/>
          <w:b/>
          <w:bCs/>
          <w:sz w:val="36"/>
          <w:szCs w:val="36"/>
        </w:rPr>
      </w:pPr>
      <w:r>
        <w:rPr>
          <w:rFonts w:hint="eastAsia" w:ascii="仿宋_GB2312" w:eastAsia="仿宋_GB2312"/>
          <w:color w:val="auto"/>
          <w:sz w:val="32"/>
          <w:szCs w:val="32"/>
          <w:lang w:val="en-US" w:eastAsia="zh-CN"/>
        </w:rPr>
        <w:t>3.福州职业技术学院关于做好岁末年初学校安全防范工作暨2021年寒假期末自查自纠排查表</w:t>
      </w:r>
    </w:p>
    <w:p>
      <w:pPr>
        <w:pStyle w:val="2"/>
        <w:rPr>
          <w:rFonts w:hint="default" w:eastAsia="仿宋_GB2312"/>
          <w:color w:val="auto"/>
          <w:lang w:val="en-US" w:eastAsia="zh-CN"/>
        </w:rPr>
      </w:pPr>
    </w:p>
    <w:p>
      <w:pPr>
        <w:pStyle w:val="2"/>
        <w:numPr>
          <w:ilvl w:val="0"/>
          <w:numId w:val="0"/>
        </w:numPr>
        <w:rPr>
          <w:rFonts w:hint="default" w:eastAsiaTheme="minorEastAsia"/>
          <w:color w:val="auto"/>
          <w:lang w:val="en-US" w:eastAsia="zh-CN"/>
        </w:rPr>
      </w:pP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5"/>
        <w:jc w:val="left"/>
        <w:textAlignment w:val="auto"/>
        <w:rPr>
          <w:rFonts w:hint="default"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092" w:firstLineChars="1904"/>
        <w:jc w:val="left"/>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92" w:firstLineChars="1904"/>
        <w:jc w:val="left"/>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92" w:firstLineChars="1904"/>
        <w:jc w:val="left"/>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92" w:firstLineChars="1904"/>
        <w:jc w:val="left"/>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80" w:firstLineChars="19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保卫处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2020年12月30日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lang w:val="en-US" w:eastAsia="zh-CN"/>
        </w:rPr>
      </w:pPr>
    </w:p>
    <w:p>
      <w:pPr>
        <w:jc w:val="center"/>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p>
    <w:p>
      <w:pPr>
        <w:jc w:val="center"/>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28"/>
          <w:lang w:val="en-US" w:eastAsia="zh-CN" w:bidi="ar-SA"/>
          <w14:textFill>
            <w14:solidFill>
              <w14:schemeClr w14:val="tx1"/>
            </w14:solidFill>
          </w14:textFill>
        </w:rPr>
        <w:t>福州职业技术学院关于做好岁末年初学校安全防范工作</w:t>
      </w:r>
    </w:p>
    <w:p>
      <w:pPr>
        <w:jc w:val="center"/>
        <w:rPr>
          <w:rFonts w:hint="eastAsia" w:ascii="黑体" w:hAnsi="黑体" w:eastAsia="黑体" w:cs="黑体"/>
          <w:b/>
          <w:bCs/>
          <w:sz w:val="36"/>
          <w:szCs w:val="36"/>
        </w:rPr>
      </w:pPr>
      <w:r>
        <w:rPr>
          <w:rFonts w:hint="eastAsia" w:ascii="黑体" w:hAnsi="黑体" w:eastAsia="黑体" w:cs="黑体"/>
          <w:b/>
          <w:bCs/>
          <w:color w:val="000000" w:themeColor="text1"/>
          <w:kern w:val="2"/>
          <w:sz w:val="28"/>
          <w:szCs w:val="28"/>
          <w:lang w:val="en-US" w:eastAsia="zh-CN" w:bidi="ar-SA"/>
          <w14:textFill>
            <w14:solidFill>
              <w14:schemeClr w14:val="tx1"/>
            </w14:solidFill>
          </w14:textFill>
        </w:rPr>
        <w:t>暨2021年寒假期末自查自纠排查表</w:t>
      </w: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部门：</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记录人：         </w:t>
      </w:r>
    </w:p>
    <w:tbl>
      <w:tblPr>
        <w:tblStyle w:val="8"/>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46"/>
        <w:gridCol w:w="1314"/>
        <w:gridCol w:w="1675"/>
        <w:gridCol w:w="263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vAlign w:val="center"/>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4"/>
              </w:rPr>
              <w:t>序号</w:t>
            </w:r>
          </w:p>
        </w:tc>
        <w:tc>
          <w:tcPr>
            <w:tcW w:w="1146" w:type="dxa"/>
            <w:vAlign w:val="center"/>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4"/>
              </w:rPr>
              <w:t>排查时间</w:t>
            </w:r>
          </w:p>
        </w:tc>
        <w:tc>
          <w:tcPr>
            <w:tcW w:w="1314" w:type="dxa"/>
            <w:vAlign w:val="center"/>
          </w:tcPr>
          <w:p>
            <w:pPr>
              <w:tabs>
                <w:tab w:val="left" w:pos="507"/>
                <w:tab w:val="center" w:pos="1146"/>
              </w:tabs>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排查区域</w:t>
            </w:r>
          </w:p>
          <w:p>
            <w:pPr>
              <w:tabs>
                <w:tab w:val="left" w:pos="507"/>
                <w:tab w:val="center" w:pos="1146"/>
              </w:tabs>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4"/>
              </w:rPr>
              <w:t>（场所）</w:t>
            </w:r>
          </w:p>
        </w:tc>
        <w:tc>
          <w:tcPr>
            <w:tcW w:w="1675" w:type="dxa"/>
            <w:vAlign w:val="center"/>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4"/>
              </w:rPr>
              <w:t>发现安全隐患</w:t>
            </w:r>
          </w:p>
        </w:tc>
        <w:tc>
          <w:tcPr>
            <w:tcW w:w="2630" w:type="dxa"/>
            <w:vAlign w:val="center"/>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4"/>
              </w:rPr>
              <w:t>自查自纠整改闭合情况</w:t>
            </w:r>
          </w:p>
        </w:tc>
        <w:tc>
          <w:tcPr>
            <w:tcW w:w="1281" w:type="dxa"/>
            <w:vAlign w:val="center"/>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48" w:type="dxa"/>
          </w:tcPr>
          <w:p>
            <w:pPr>
              <w:jc w:val="center"/>
              <w:rPr>
                <w:rFonts w:hint="eastAsia" w:ascii="仿宋_GB2312" w:hAnsi="仿宋_GB2312" w:eastAsia="仿宋_GB2312" w:cs="仿宋_GB2312"/>
                <w:sz w:val="24"/>
                <w:szCs w:val="24"/>
                <w:vertAlign w:val="baseline"/>
                <w:lang w:val="en-US" w:eastAsia="zh-CN"/>
              </w:rPr>
            </w:pPr>
          </w:p>
        </w:tc>
        <w:tc>
          <w:tcPr>
            <w:tcW w:w="1146" w:type="dxa"/>
          </w:tcPr>
          <w:p>
            <w:pPr>
              <w:jc w:val="center"/>
              <w:rPr>
                <w:rFonts w:hint="default" w:ascii="仿宋_GB2312" w:hAnsi="仿宋_GB2312" w:eastAsia="仿宋_GB2312" w:cs="仿宋_GB2312"/>
                <w:sz w:val="24"/>
                <w:szCs w:val="24"/>
                <w:vertAlign w:val="baseline"/>
                <w:lang w:val="en-US" w:eastAsia="zh-CN"/>
              </w:rPr>
            </w:pPr>
          </w:p>
        </w:tc>
        <w:tc>
          <w:tcPr>
            <w:tcW w:w="1314" w:type="dxa"/>
          </w:tcPr>
          <w:p>
            <w:pPr>
              <w:jc w:val="center"/>
              <w:rPr>
                <w:rFonts w:hint="eastAsia" w:ascii="仿宋_GB2312" w:hAnsi="仿宋_GB2312" w:eastAsia="仿宋_GB2312" w:cs="仿宋_GB2312"/>
                <w:sz w:val="24"/>
                <w:szCs w:val="24"/>
                <w:vertAlign w:val="baseline"/>
                <w:lang w:val="en-US" w:eastAsia="zh-CN"/>
              </w:rPr>
            </w:pPr>
          </w:p>
        </w:tc>
        <w:tc>
          <w:tcPr>
            <w:tcW w:w="1675" w:type="dxa"/>
          </w:tcPr>
          <w:p>
            <w:pPr>
              <w:jc w:val="left"/>
              <w:rPr>
                <w:rFonts w:hint="default" w:ascii="仿宋_GB2312" w:hAnsi="仿宋_GB2312" w:eastAsia="仿宋_GB2312" w:cs="仿宋_GB2312"/>
                <w:sz w:val="21"/>
                <w:szCs w:val="21"/>
                <w:lang w:val="en-US" w:eastAsia="zh-CN"/>
              </w:rPr>
            </w:pPr>
          </w:p>
        </w:tc>
        <w:tc>
          <w:tcPr>
            <w:tcW w:w="2630" w:type="dxa"/>
          </w:tcPr>
          <w:p>
            <w:pPr>
              <w:jc w:val="center"/>
              <w:rPr>
                <w:rFonts w:hint="eastAsia" w:ascii="仿宋_GB2312" w:hAnsi="仿宋_GB2312" w:eastAsia="仿宋_GB2312" w:cs="仿宋_GB2312"/>
                <w:sz w:val="24"/>
                <w:szCs w:val="24"/>
                <w:vertAlign w:val="baseline"/>
              </w:rPr>
            </w:pPr>
          </w:p>
        </w:tc>
        <w:tc>
          <w:tcPr>
            <w:tcW w:w="1281" w:type="dxa"/>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48" w:type="dxa"/>
          </w:tcPr>
          <w:p>
            <w:pPr>
              <w:jc w:val="center"/>
              <w:rPr>
                <w:rFonts w:hint="eastAsia" w:ascii="仿宋_GB2312" w:hAnsi="仿宋_GB2312" w:eastAsia="仿宋_GB2312" w:cs="仿宋_GB2312"/>
                <w:sz w:val="24"/>
                <w:szCs w:val="24"/>
                <w:vertAlign w:val="baseline"/>
                <w:lang w:val="en-US" w:eastAsia="zh-CN"/>
              </w:rPr>
            </w:pPr>
          </w:p>
        </w:tc>
        <w:tc>
          <w:tcPr>
            <w:tcW w:w="1146" w:type="dxa"/>
          </w:tcPr>
          <w:p>
            <w:pPr>
              <w:jc w:val="center"/>
              <w:rPr>
                <w:rFonts w:hint="eastAsia" w:ascii="仿宋_GB2312" w:hAnsi="仿宋_GB2312" w:eastAsia="仿宋_GB2312" w:cs="仿宋_GB2312"/>
                <w:sz w:val="24"/>
                <w:szCs w:val="24"/>
                <w:vertAlign w:val="baseline"/>
              </w:rPr>
            </w:pPr>
          </w:p>
        </w:tc>
        <w:tc>
          <w:tcPr>
            <w:tcW w:w="1314" w:type="dxa"/>
          </w:tcPr>
          <w:p>
            <w:pPr>
              <w:jc w:val="center"/>
              <w:rPr>
                <w:rFonts w:hint="default" w:ascii="仿宋_GB2312" w:hAnsi="仿宋_GB2312" w:eastAsia="仿宋_GB2312" w:cs="仿宋_GB2312"/>
                <w:sz w:val="24"/>
                <w:szCs w:val="24"/>
                <w:vertAlign w:val="baseline"/>
                <w:lang w:val="en-US" w:eastAsia="zh-CN"/>
              </w:rPr>
            </w:pPr>
          </w:p>
        </w:tc>
        <w:tc>
          <w:tcPr>
            <w:tcW w:w="1675" w:type="dxa"/>
          </w:tcPr>
          <w:p>
            <w:pPr>
              <w:numPr>
                <w:ilvl w:val="0"/>
                <w:numId w:val="0"/>
              </w:numPr>
              <w:jc w:val="left"/>
              <w:rPr>
                <w:rFonts w:hint="default" w:ascii="仿宋_GB2312" w:hAnsi="仿宋_GB2312" w:eastAsia="仿宋_GB2312" w:cs="仿宋_GB2312"/>
                <w:sz w:val="21"/>
                <w:szCs w:val="21"/>
                <w:lang w:val="en-US" w:eastAsia="zh-CN"/>
              </w:rPr>
            </w:pPr>
          </w:p>
        </w:tc>
        <w:tc>
          <w:tcPr>
            <w:tcW w:w="2630" w:type="dxa"/>
          </w:tcPr>
          <w:p>
            <w:pPr>
              <w:jc w:val="center"/>
              <w:rPr>
                <w:rFonts w:hint="eastAsia" w:ascii="仿宋_GB2312" w:hAnsi="仿宋_GB2312" w:eastAsia="仿宋_GB2312" w:cs="仿宋_GB2312"/>
                <w:sz w:val="24"/>
                <w:szCs w:val="24"/>
                <w:vertAlign w:val="baseline"/>
              </w:rPr>
            </w:pPr>
          </w:p>
        </w:tc>
        <w:tc>
          <w:tcPr>
            <w:tcW w:w="1281" w:type="dxa"/>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48" w:type="dxa"/>
          </w:tcPr>
          <w:p>
            <w:pPr>
              <w:jc w:val="center"/>
              <w:rPr>
                <w:rFonts w:hint="eastAsia" w:ascii="仿宋_GB2312" w:hAnsi="仿宋_GB2312" w:eastAsia="仿宋_GB2312" w:cs="仿宋_GB2312"/>
                <w:sz w:val="24"/>
                <w:szCs w:val="24"/>
                <w:vertAlign w:val="baseline"/>
                <w:lang w:val="en-US" w:eastAsia="zh-CN"/>
              </w:rPr>
            </w:pPr>
          </w:p>
        </w:tc>
        <w:tc>
          <w:tcPr>
            <w:tcW w:w="1146" w:type="dxa"/>
          </w:tcPr>
          <w:p>
            <w:pPr>
              <w:jc w:val="center"/>
              <w:rPr>
                <w:rFonts w:hint="eastAsia" w:ascii="仿宋_GB2312" w:hAnsi="仿宋_GB2312" w:eastAsia="仿宋_GB2312" w:cs="仿宋_GB2312"/>
                <w:sz w:val="24"/>
                <w:szCs w:val="24"/>
                <w:vertAlign w:val="baseline"/>
              </w:rPr>
            </w:pPr>
          </w:p>
        </w:tc>
        <w:tc>
          <w:tcPr>
            <w:tcW w:w="1314" w:type="dxa"/>
          </w:tcPr>
          <w:p>
            <w:pPr>
              <w:jc w:val="center"/>
              <w:rPr>
                <w:rFonts w:hint="default" w:ascii="仿宋_GB2312" w:hAnsi="仿宋_GB2312" w:eastAsia="仿宋_GB2312" w:cs="仿宋_GB2312"/>
                <w:sz w:val="24"/>
                <w:szCs w:val="24"/>
                <w:vertAlign w:val="baseline"/>
                <w:lang w:val="en-US" w:eastAsia="zh-CN"/>
              </w:rPr>
            </w:pPr>
          </w:p>
        </w:tc>
        <w:tc>
          <w:tcPr>
            <w:tcW w:w="1675" w:type="dxa"/>
          </w:tcPr>
          <w:p>
            <w:pPr>
              <w:numPr>
                <w:ilvl w:val="0"/>
                <w:numId w:val="0"/>
              </w:numPr>
              <w:jc w:val="left"/>
              <w:rPr>
                <w:rFonts w:hint="default" w:ascii="仿宋_GB2312" w:hAnsi="仿宋_GB2312" w:eastAsia="仿宋_GB2312" w:cs="仿宋_GB2312"/>
                <w:sz w:val="21"/>
                <w:szCs w:val="21"/>
                <w:lang w:val="en-US" w:eastAsia="zh-CN"/>
              </w:rPr>
            </w:pPr>
          </w:p>
        </w:tc>
        <w:tc>
          <w:tcPr>
            <w:tcW w:w="2630" w:type="dxa"/>
          </w:tcPr>
          <w:p>
            <w:pPr>
              <w:jc w:val="center"/>
              <w:rPr>
                <w:rFonts w:hint="eastAsia" w:ascii="仿宋_GB2312" w:hAnsi="仿宋_GB2312" w:eastAsia="仿宋_GB2312" w:cs="仿宋_GB2312"/>
                <w:sz w:val="24"/>
                <w:szCs w:val="24"/>
                <w:vertAlign w:val="baseline"/>
              </w:rPr>
            </w:pPr>
          </w:p>
        </w:tc>
        <w:tc>
          <w:tcPr>
            <w:tcW w:w="1281" w:type="dxa"/>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8" w:type="dxa"/>
          </w:tcPr>
          <w:p>
            <w:pPr>
              <w:jc w:val="center"/>
              <w:rPr>
                <w:rFonts w:hint="eastAsia" w:ascii="仿宋_GB2312" w:hAnsi="仿宋_GB2312" w:eastAsia="仿宋_GB2312" w:cs="仿宋_GB2312"/>
                <w:sz w:val="24"/>
                <w:szCs w:val="24"/>
                <w:vertAlign w:val="baseline"/>
                <w:lang w:val="en-US" w:eastAsia="zh-CN"/>
              </w:rPr>
            </w:pPr>
          </w:p>
        </w:tc>
        <w:tc>
          <w:tcPr>
            <w:tcW w:w="1146" w:type="dxa"/>
          </w:tcPr>
          <w:p>
            <w:pPr>
              <w:jc w:val="center"/>
              <w:rPr>
                <w:rFonts w:hint="default" w:ascii="仿宋_GB2312" w:hAnsi="仿宋_GB2312" w:eastAsia="仿宋_GB2312" w:cs="仿宋_GB2312"/>
                <w:sz w:val="24"/>
                <w:szCs w:val="24"/>
                <w:vertAlign w:val="baseline"/>
                <w:lang w:val="en-US" w:eastAsia="zh-CN"/>
              </w:rPr>
            </w:pPr>
          </w:p>
        </w:tc>
        <w:tc>
          <w:tcPr>
            <w:tcW w:w="1314" w:type="dxa"/>
          </w:tcPr>
          <w:p>
            <w:pPr>
              <w:jc w:val="center"/>
              <w:rPr>
                <w:rFonts w:hint="eastAsia" w:ascii="仿宋_GB2312" w:hAnsi="仿宋_GB2312" w:eastAsia="仿宋_GB2312" w:cs="仿宋_GB2312"/>
                <w:sz w:val="24"/>
                <w:szCs w:val="24"/>
                <w:vertAlign w:val="baseline"/>
              </w:rPr>
            </w:pPr>
          </w:p>
        </w:tc>
        <w:tc>
          <w:tcPr>
            <w:tcW w:w="1675" w:type="dxa"/>
          </w:tcPr>
          <w:p>
            <w:pPr>
              <w:numPr>
                <w:ilvl w:val="0"/>
                <w:numId w:val="0"/>
              </w:numPr>
              <w:jc w:val="left"/>
              <w:rPr>
                <w:rFonts w:hint="default" w:ascii="仿宋_GB2312" w:hAnsi="仿宋_GB2312" w:eastAsia="仿宋_GB2312" w:cs="仿宋_GB2312"/>
                <w:sz w:val="21"/>
                <w:szCs w:val="21"/>
                <w:lang w:val="en-US" w:eastAsia="zh-CN"/>
              </w:rPr>
            </w:pPr>
          </w:p>
        </w:tc>
        <w:tc>
          <w:tcPr>
            <w:tcW w:w="2630" w:type="dxa"/>
          </w:tcPr>
          <w:p>
            <w:pPr>
              <w:jc w:val="center"/>
              <w:rPr>
                <w:rFonts w:hint="eastAsia" w:ascii="仿宋_GB2312" w:hAnsi="仿宋_GB2312" w:eastAsia="仿宋_GB2312" w:cs="仿宋_GB2312"/>
                <w:sz w:val="24"/>
                <w:szCs w:val="24"/>
                <w:vertAlign w:val="baseline"/>
              </w:rPr>
            </w:pPr>
          </w:p>
        </w:tc>
        <w:tc>
          <w:tcPr>
            <w:tcW w:w="1281" w:type="dxa"/>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8" w:type="dxa"/>
          </w:tcPr>
          <w:p>
            <w:pPr>
              <w:jc w:val="center"/>
              <w:rPr>
                <w:rFonts w:hint="eastAsia" w:ascii="仿宋_GB2312" w:hAnsi="仿宋_GB2312" w:eastAsia="仿宋_GB2312" w:cs="仿宋_GB2312"/>
                <w:sz w:val="24"/>
                <w:szCs w:val="24"/>
                <w:vertAlign w:val="baseline"/>
                <w:lang w:val="en-US" w:eastAsia="zh-CN"/>
              </w:rPr>
            </w:pPr>
          </w:p>
        </w:tc>
        <w:tc>
          <w:tcPr>
            <w:tcW w:w="1146" w:type="dxa"/>
          </w:tcPr>
          <w:p>
            <w:pPr>
              <w:jc w:val="center"/>
              <w:rPr>
                <w:rFonts w:hint="default" w:ascii="仿宋_GB2312" w:hAnsi="仿宋_GB2312" w:eastAsia="仿宋_GB2312" w:cs="仿宋_GB2312"/>
                <w:sz w:val="24"/>
                <w:szCs w:val="24"/>
                <w:vertAlign w:val="baseline"/>
                <w:lang w:val="en-US" w:eastAsia="zh-CN"/>
              </w:rPr>
            </w:pPr>
          </w:p>
        </w:tc>
        <w:tc>
          <w:tcPr>
            <w:tcW w:w="1314" w:type="dxa"/>
          </w:tcPr>
          <w:p>
            <w:pPr>
              <w:jc w:val="center"/>
              <w:rPr>
                <w:rFonts w:hint="eastAsia" w:ascii="仿宋_GB2312" w:hAnsi="仿宋_GB2312" w:eastAsia="仿宋_GB2312" w:cs="仿宋_GB2312"/>
                <w:sz w:val="24"/>
                <w:szCs w:val="24"/>
                <w:vertAlign w:val="baseline"/>
              </w:rPr>
            </w:pPr>
          </w:p>
        </w:tc>
        <w:tc>
          <w:tcPr>
            <w:tcW w:w="1675" w:type="dxa"/>
          </w:tcPr>
          <w:p>
            <w:pPr>
              <w:numPr>
                <w:ilvl w:val="0"/>
                <w:numId w:val="0"/>
              </w:numPr>
              <w:jc w:val="left"/>
              <w:rPr>
                <w:rFonts w:hint="default" w:ascii="仿宋_GB2312" w:hAnsi="仿宋_GB2312" w:eastAsia="仿宋_GB2312" w:cs="仿宋_GB2312"/>
                <w:sz w:val="21"/>
                <w:szCs w:val="21"/>
                <w:lang w:val="en-US" w:eastAsia="zh-CN"/>
              </w:rPr>
            </w:pPr>
          </w:p>
        </w:tc>
        <w:tc>
          <w:tcPr>
            <w:tcW w:w="2630" w:type="dxa"/>
          </w:tcPr>
          <w:p>
            <w:pPr>
              <w:jc w:val="center"/>
              <w:rPr>
                <w:rFonts w:hint="eastAsia" w:ascii="仿宋_GB2312" w:hAnsi="仿宋_GB2312" w:eastAsia="仿宋_GB2312" w:cs="仿宋_GB2312"/>
                <w:sz w:val="24"/>
                <w:szCs w:val="24"/>
                <w:vertAlign w:val="baseline"/>
              </w:rPr>
            </w:pPr>
          </w:p>
        </w:tc>
        <w:tc>
          <w:tcPr>
            <w:tcW w:w="1281" w:type="dxa"/>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8" w:type="dxa"/>
          </w:tcPr>
          <w:p>
            <w:pPr>
              <w:jc w:val="center"/>
              <w:rPr>
                <w:rFonts w:hint="eastAsia" w:ascii="仿宋_GB2312" w:hAnsi="仿宋_GB2312" w:eastAsia="仿宋_GB2312" w:cs="仿宋_GB2312"/>
                <w:sz w:val="24"/>
                <w:szCs w:val="24"/>
                <w:vertAlign w:val="baseline"/>
                <w:lang w:val="en-US" w:eastAsia="zh-CN"/>
              </w:rPr>
            </w:pPr>
          </w:p>
        </w:tc>
        <w:tc>
          <w:tcPr>
            <w:tcW w:w="1146" w:type="dxa"/>
          </w:tcPr>
          <w:p>
            <w:pPr>
              <w:jc w:val="center"/>
              <w:rPr>
                <w:rFonts w:hint="default" w:ascii="仿宋_GB2312" w:hAnsi="仿宋_GB2312" w:eastAsia="仿宋_GB2312" w:cs="仿宋_GB2312"/>
                <w:sz w:val="24"/>
                <w:szCs w:val="24"/>
                <w:vertAlign w:val="baseline"/>
                <w:lang w:val="en-US" w:eastAsia="zh-CN"/>
              </w:rPr>
            </w:pPr>
          </w:p>
        </w:tc>
        <w:tc>
          <w:tcPr>
            <w:tcW w:w="1314" w:type="dxa"/>
          </w:tcPr>
          <w:p>
            <w:pPr>
              <w:jc w:val="center"/>
              <w:rPr>
                <w:rFonts w:hint="eastAsia" w:ascii="仿宋_GB2312" w:hAnsi="仿宋_GB2312" w:eastAsia="仿宋_GB2312" w:cs="仿宋_GB2312"/>
                <w:sz w:val="24"/>
                <w:szCs w:val="24"/>
                <w:vertAlign w:val="baseline"/>
              </w:rPr>
            </w:pPr>
          </w:p>
        </w:tc>
        <w:tc>
          <w:tcPr>
            <w:tcW w:w="1675" w:type="dxa"/>
          </w:tcPr>
          <w:p>
            <w:pPr>
              <w:numPr>
                <w:ilvl w:val="0"/>
                <w:numId w:val="0"/>
              </w:numPr>
              <w:jc w:val="left"/>
              <w:rPr>
                <w:rFonts w:hint="default" w:ascii="仿宋_GB2312" w:hAnsi="仿宋_GB2312" w:eastAsia="仿宋_GB2312" w:cs="仿宋_GB2312"/>
                <w:sz w:val="21"/>
                <w:szCs w:val="21"/>
                <w:lang w:val="en-US" w:eastAsia="zh-CN"/>
              </w:rPr>
            </w:pPr>
          </w:p>
        </w:tc>
        <w:tc>
          <w:tcPr>
            <w:tcW w:w="2630" w:type="dxa"/>
          </w:tcPr>
          <w:p>
            <w:pPr>
              <w:jc w:val="center"/>
              <w:rPr>
                <w:rFonts w:hint="eastAsia" w:ascii="仿宋_GB2312" w:hAnsi="仿宋_GB2312" w:eastAsia="仿宋_GB2312" w:cs="仿宋_GB2312"/>
                <w:sz w:val="24"/>
                <w:szCs w:val="24"/>
                <w:vertAlign w:val="baseline"/>
              </w:rPr>
            </w:pPr>
          </w:p>
        </w:tc>
        <w:tc>
          <w:tcPr>
            <w:tcW w:w="1281" w:type="dxa"/>
          </w:tcPr>
          <w:p>
            <w:pPr>
              <w:jc w:val="center"/>
              <w:rPr>
                <w:rFonts w:hint="eastAsia" w:ascii="仿宋_GB2312" w:hAnsi="仿宋_GB2312" w:eastAsia="仿宋_GB2312" w:cs="仿宋_GB2312"/>
                <w:sz w:val="24"/>
                <w:szCs w:val="24"/>
                <w:vertAlign w:val="baseline"/>
              </w:rPr>
            </w:pPr>
          </w:p>
        </w:tc>
      </w:tr>
    </w:tbl>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2"/>
          <w:szCs w:val="32"/>
          <w:lang w:val="en-US" w:eastAsia="zh-CN"/>
        </w:rPr>
      </w:pPr>
    </w:p>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西文正文">
    <w:altName w:val="宋体"/>
    <w:panose1 w:val="00000000000000000000"/>
    <w:charset w:val="86"/>
    <w:family w:val="roman"/>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10EE1"/>
    <w:multiLevelType w:val="singleLevel"/>
    <w:tmpl w:val="A2D10EE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8D"/>
    <w:rsid w:val="00014187"/>
    <w:rsid w:val="00033A89"/>
    <w:rsid w:val="00061ACA"/>
    <w:rsid w:val="000D2CDB"/>
    <w:rsid w:val="000E78D3"/>
    <w:rsid w:val="000F080F"/>
    <w:rsid w:val="000F4FCE"/>
    <w:rsid w:val="0012416B"/>
    <w:rsid w:val="00132F06"/>
    <w:rsid w:val="00146935"/>
    <w:rsid w:val="001A6071"/>
    <w:rsid w:val="0021031B"/>
    <w:rsid w:val="002C05F8"/>
    <w:rsid w:val="002D7737"/>
    <w:rsid w:val="0034040F"/>
    <w:rsid w:val="0034542F"/>
    <w:rsid w:val="00364157"/>
    <w:rsid w:val="00383E4F"/>
    <w:rsid w:val="003A581B"/>
    <w:rsid w:val="003A6BEB"/>
    <w:rsid w:val="003C03B8"/>
    <w:rsid w:val="003E1C79"/>
    <w:rsid w:val="003F042F"/>
    <w:rsid w:val="003F742D"/>
    <w:rsid w:val="004626BB"/>
    <w:rsid w:val="00475038"/>
    <w:rsid w:val="004F5050"/>
    <w:rsid w:val="0050453F"/>
    <w:rsid w:val="005268EE"/>
    <w:rsid w:val="00570209"/>
    <w:rsid w:val="00587224"/>
    <w:rsid w:val="005E3D18"/>
    <w:rsid w:val="00613F98"/>
    <w:rsid w:val="006C12F6"/>
    <w:rsid w:val="007015B4"/>
    <w:rsid w:val="00740D3E"/>
    <w:rsid w:val="00754B31"/>
    <w:rsid w:val="00760CE2"/>
    <w:rsid w:val="00762A8D"/>
    <w:rsid w:val="00770BAE"/>
    <w:rsid w:val="00795124"/>
    <w:rsid w:val="007A437F"/>
    <w:rsid w:val="007A45A9"/>
    <w:rsid w:val="007A5EF9"/>
    <w:rsid w:val="007B39C5"/>
    <w:rsid w:val="007B7CC6"/>
    <w:rsid w:val="007E1AE7"/>
    <w:rsid w:val="00817DA9"/>
    <w:rsid w:val="00823CF2"/>
    <w:rsid w:val="008903BC"/>
    <w:rsid w:val="00912F23"/>
    <w:rsid w:val="009827BA"/>
    <w:rsid w:val="009F2E96"/>
    <w:rsid w:val="00A1141E"/>
    <w:rsid w:val="00A144FA"/>
    <w:rsid w:val="00A23B7C"/>
    <w:rsid w:val="00A24BAD"/>
    <w:rsid w:val="00AA44C8"/>
    <w:rsid w:val="00AC60D4"/>
    <w:rsid w:val="00B019CC"/>
    <w:rsid w:val="00B32A06"/>
    <w:rsid w:val="00B71ADC"/>
    <w:rsid w:val="00BC1C70"/>
    <w:rsid w:val="00C21F95"/>
    <w:rsid w:val="00CD28E6"/>
    <w:rsid w:val="00D236DB"/>
    <w:rsid w:val="00D5227D"/>
    <w:rsid w:val="00D91663"/>
    <w:rsid w:val="00DA2A27"/>
    <w:rsid w:val="00DB0547"/>
    <w:rsid w:val="00DD5232"/>
    <w:rsid w:val="00E66DCA"/>
    <w:rsid w:val="00E90631"/>
    <w:rsid w:val="00EF74DD"/>
    <w:rsid w:val="00F57EBB"/>
    <w:rsid w:val="00F82B38"/>
    <w:rsid w:val="00F878AC"/>
    <w:rsid w:val="00FB04E2"/>
    <w:rsid w:val="00FD4FE5"/>
    <w:rsid w:val="00FE197D"/>
    <w:rsid w:val="01DA3C5B"/>
    <w:rsid w:val="08F408AC"/>
    <w:rsid w:val="09323DE4"/>
    <w:rsid w:val="0E475D8F"/>
    <w:rsid w:val="0EAF0D9E"/>
    <w:rsid w:val="0EDE3286"/>
    <w:rsid w:val="14C7386A"/>
    <w:rsid w:val="17C812C2"/>
    <w:rsid w:val="1C6E5FF9"/>
    <w:rsid w:val="1F93683D"/>
    <w:rsid w:val="22E0046A"/>
    <w:rsid w:val="25F344A9"/>
    <w:rsid w:val="2C830651"/>
    <w:rsid w:val="2E836F22"/>
    <w:rsid w:val="3068613C"/>
    <w:rsid w:val="32D8558D"/>
    <w:rsid w:val="357F5AE3"/>
    <w:rsid w:val="390E08DE"/>
    <w:rsid w:val="39B61CF3"/>
    <w:rsid w:val="3BAE3FA1"/>
    <w:rsid w:val="3F451BEE"/>
    <w:rsid w:val="43FB5504"/>
    <w:rsid w:val="440610F0"/>
    <w:rsid w:val="447F41AF"/>
    <w:rsid w:val="4A126F01"/>
    <w:rsid w:val="4D9D1FA3"/>
    <w:rsid w:val="4E7A1059"/>
    <w:rsid w:val="4FB569A8"/>
    <w:rsid w:val="58C41174"/>
    <w:rsid w:val="592022F7"/>
    <w:rsid w:val="5A824F65"/>
    <w:rsid w:val="5E9537D2"/>
    <w:rsid w:val="5FF360D0"/>
    <w:rsid w:val="679908AA"/>
    <w:rsid w:val="6B824CE2"/>
    <w:rsid w:val="721B29B7"/>
    <w:rsid w:val="72723B07"/>
    <w:rsid w:val="775561E7"/>
    <w:rsid w:val="79724662"/>
    <w:rsid w:val="798D53C8"/>
    <w:rsid w:val="7990338E"/>
    <w:rsid w:val="79C93A21"/>
    <w:rsid w:val="7E636B38"/>
    <w:rsid w:val="7FE8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西文正文" w:hAnsiTheme="minorHAnsi" w:eastAsia="楷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 w:val="20"/>
    </w:rPr>
  </w:style>
  <w:style w:type="paragraph" w:styleId="3">
    <w:name w:val="Body Text"/>
    <w:basedOn w:val="1"/>
    <w:qFormat/>
    <w:uiPriority w:val="0"/>
    <w:rPr>
      <w:sz w:val="29"/>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1580</Characters>
  <Lines>13</Lines>
  <Paragraphs>3</Paragraphs>
  <TotalTime>2</TotalTime>
  <ScaleCrop>false</ScaleCrop>
  <LinksUpToDate>false</LinksUpToDate>
  <CharactersWithSpaces>1854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2020-12-23T08:39:00Z</dcterms:created>
  <dc:creator>admin</dc:creator>
  <cp:lastModifiedBy>Administrator</cp:lastModifiedBy>
  <cp:lastPrinted>2020-12-24T08:41:00Z</cp:lastPrinted>
  <dcterms:modified xsi:type="dcterms:W3CDTF">2020-12-31T03:16:56Z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