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50C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E464C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E464C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数字环境物联设备维保服务（2025-2027）结果公告（采购包1）</w:t>
      </w:r>
    </w:p>
    <w:p w14:paraId="7F08CE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16"/>
          <w:szCs w:val="16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一、项目编号：[350101]HSXM[GK]2025006</w:t>
      </w:r>
    </w:p>
    <w:p w14:paraId="44B225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16"/>
          <w:szCs w:val="16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二、项目名称：数字环境物联设备维保服务（2025-2027）</w:t>
      </w:r>
    </w:p>
    <w:p w14:paraId="0CB153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16"/>
          <w:szCs w:val="16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三、采购结果</w:t>
      </w:r>
      <w:bookmarkStart w:id="0" w:name="_GoBack"/>
      <w:bookmarkEnd w:id="0"/>
    </w:p>
    <w:p w14:paraId="29468D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采购包1:</w:t>
      </w:r>
    </w:p>
    <w:tbl>
      <w:tblPr>
        <w:tblW w:w="100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3513"/>
        <w:gridCol w:w="2000"/>
        <w:gridCol w:w="2625"/>
      </w:tblGrid>
      <w:tr w14:paraId="72977E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3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C639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352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8B4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7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FC5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23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BAD6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评审价格</w:t>
            </w:r>
          </w:p>
        </w:tc>
      </w:tr>
      <w:tr w14:paraId="4A7691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D1C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福建云智赋能信息科技有限公司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DC2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福州市鼓楼区温泉街道东城边街39号（原东城边街东侧与温泉支路交叉处）恒宇国际1#楼8层07商务办公</w:t>
            </w:r>
          </w:p>
        </w:tc>
        <w:tc>
          <w:tcPr>
            <w:tcW w:w="2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noWrap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AAB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693,600.00元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175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数字环境物联设备维保服务（2025-2027）（总价）：693600元</w:t>
            </w:r>
          </w:p>
        </w:tc>
      </w:tr>
    </w:tbl>
    <w:p w14:paraId="777265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16"/>
          <w:szCs w:val="16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四、主要标的信息</w:t>
      </w:r>
    </w:p>
    <w:p w14:paraId="1EEC2E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采购包1(数字环境物联设备维保服务（2025-2027）):</w:t>
      </w:r>
    </w:p>
    <w:p w14:paraId="51CBF3D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服务类（福建云智赋能信息科技有限公司）</w:t>
      </w:r>
    </w:p>
    <w:tbl>
      <w:tblPr>
        <w:tblW w:w="100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12"/>
        <w:gridCol w:w="1052"/>
        <w:gridCol w:w="1052"/>
        <w:gridCol w:w="1052"/>
        <w:gridCol w:w="1708"/>
        <w:gridCol w:w="1123"/>
        <w:gridCol w:w="379"/>
        <w:gridCol w:w="1669"/>
        <w:gridCol w:w="1018"/>
      </w:tblGrid>
      <w:tr w14:paraId="4CBD40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209C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7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FD3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品目编号及品目名称</w:t>
            </w:r>
          </w:p>
        </w:tc>
        <w:tc>
          <w:tcPr>
            <w:tcW w:w="108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FFFA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8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FA1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报价明细内容</w:t>
            </w:r>
          </w:p>
        </w:tc>
        <w:tc>
          <w:tcPr>
            <w:tcW w:w="1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6D9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10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481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10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127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56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A39C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7984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服务标准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E008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637017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B584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B134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硬件运维服务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C3A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数字环境物联设备维保服务（2025-2027）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30C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数字环境物联设备维保服务（2025-2027）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3B2D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数字环境物联设备维保服务（2025-2027）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43B7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运维对象包括了90间物联多媒体教室、181间物联实训室、4间物联会议室。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4288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2025年12月21日至2027年12月20日。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3019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4E8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对设备提供日常驻点运维服务，定期巡检，保证设备及软件设备正常运行。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414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693,600.00</w:t>
            </w:r>
          </w:p>
        </w:tc>
      </w:tr>
    </w:tbl>
    <w:p w14:paraId="11F65B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16"/>
          <w:szCs w:val="16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五、评审专家名单：</w:t>
      </w:r>
    </w:p>
    <w:tbl>
      <w:tblPr>
        <w:tblW w:w="100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0"/>
        <w:gridCol w:w="5000"/>
      </w:tblGrid>
      <w:tr w14:paraId="039E18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0139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采购人代表：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DED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林永</w:t>
            </w:r>
          </w:p>
        </w:tc>
      </w:tr>
      <w:tr w14:paraId="70D23D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A97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评审专家：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1D9F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刘宇 、 林梅辉 、 黄凌 、 朱琳</w:t>
            </w:r>
          </w:p>
        </w:tc>
      </w:tr>
    </w:tbl>
    <w:p w14:paraId="112CC6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16"/>
          <w:szCs w:val="16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六、代理服务收费标准及金额：</w:t>
      </w:r>
    </w:p>
    <w:p w14:paraId="2A0750D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代理服务费收费标准：</w:t>
      </w:r>
    </w:p>
    <w:p w14:paraId="676356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1、招标代理服务收费的标准：100(万元)以下收费费率标准：1.50%。2、招标代理服务费收取方式：中标人应按规定的标准一次性向采购代理机构缴清招标代理服务费。招标代理服务费收费以银行转账、电汇、汇票等非现金付款方式支付。3、招标代理服务费缴交银行账号：开户名：福建火山项目管理有限公司，开户行：兴业银行股份有限公司福州总行大厦营业部，账号：117010100100458598。</w:t>
      </w:r>
    </w:p>
    <w:p w14:paraId="7740D6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代理服务费收费金额：</w:t>
      </w:r>
    </w:p>
    <w:p w14:paraId="29E466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合同包1数字环境物联设备维保服务（2025-2027）：1.0404万元</w:t>
      </w:r>
    </w:p>
    <w:p w14:paraId="4DFB50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收取对象：中标（成交）供应商</w:t>
      </w:r>
    </w:p>
    <w:p w14:paraId="70218E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16"/>
          <w:szCs w:val="16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七、公告期限</w:t>
      </w:r>
    </w:p>
    <w:p w14:paraId="44C308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自本公告发布之日起1个工作日。</w:t>
      </w:r>
    </w:p>
    <w:p w14:paraId="2FD6F4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16"/>
          <w:szCs w:val="16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八、其他补充事宜</w:t>
      </w:r>
    </w:p>
    <w:p w14:paraId="055993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1、资格审查小组对各投标人的投标文件进行资格性审查：各投标人的资格性审查均合格。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2、评标委员会对各投标人的投标文件进行符合性审查：各投标人的符合性审查均合格。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3、采购结果确定日期:2025年9月24日</w:t>
      </w:r>
    </w:p>
    <w:p w14:paraId="30B11E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16"/>
          <w:szCs w:val="16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九、凡对本次公告内容提出询问，请按以下方式联系。</w:t>
      </w:r>
    </w:p>
    <w:p w14:paraId="686A17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1.采购单位信息</w:t>
      </w:r>
    </w:p>
    <w:p w14:paraId="77207A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名称：福州职业技术学院</w:t>
      </w:r>
    </w:p>
    <w:p w14:paraId="07CEA5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地址：福州市闽侯上街联榕路8号</w:t>
      </w:r>
    </w:p>
    <w:p w14:paraId="39E4B0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联系方式：0591-83760305</w:t>
      </w:r>
    </w:p>
    <w:p w14:paraId="01BED3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2.采购机构信息</w:t>
      </w:r>
    </w:p>
    <w:p w14:paraId="791641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名称：福建火山项目管理有限公司</w:t>
      </w:r>
    </w:p>
    <w:p w14:paraId="1D7343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地址：福建省福州市晋安区王庄街道福新中路75号永同昌大厦11层05、06室</w:t>
      </w:r>
    </w:p>
    <w:p w14:paraId="2DBB0B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联系方式：0591-83666679</w:t>
      </w:r>
    </w:p>
    <w:p w14:paraId="7C2368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3.项目联系方式</w:t>
      </w:r>
    </w:p>
    <w:p w14:paraId="05BB5D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项目联系人：林鹭、林龙宇、何丹萍、许灿军</w:t>
      </w:r>
    </w:p>
    <w:p w14:paraId="09013D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电话：0591-83666679</w:t>
      </w:r>
    </w:p>
    <w:p w14:paraId="79BFD0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right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福建火山项目管理有限公司</w:t>
      </w:r>
    </w:p>
    <w:p w14:paraId="07CFC3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right"/>
        <w:textAlignment w:val="auto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2025年09月24日</w:t>
      </w:r>
    </w:p>
    <w:p w14:paraId="357396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</w:rPr>
      </w:pPr>
    </w:p>
    <w:p w14:paraId="3CDBEB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16"/>
          <w:szCs w:val="16"/>
          <w:shd w:val="clear" w:fill="FFFFFF"/>
          <w:lang w:val="en-US" w:eastAsia="zh-CN" w:bidi="ar"/>
        </w:rPr>
        <w:t>相关附件：</w:t>
      </w:r>
    </w:p>
    <w:p w14:paraId="1FEAA1E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2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"https://zfcg.czt.fujian.gov.cn/gpx-bid-file/350101/gpx-bidcore/2025/09/23/8a1d16da97c932ef0198311e9c052238/8a1d031798825d3401989d2e45ac0c04/xqyesmh.pdf?accessCode=0c145c27cb709818945ff09cd05566da" </w:instrTex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16"/>
          <w:szCs w:val="16"/>
          <w:u w:val="none"/>
          <w:bdr w:val="none" w:color="auto" w:sz="0" w:space="0"/>
          <w:shd w:val="clear" w:fill="FFFFFF"/>
        </w:rPr>
        <w:t>合同包1：中小企业声明函（福建云智赋能信息科技有限公司）.pdf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642DF9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1045</Words>
  <Characters>1276</Characters>
  <Lines>0</Lines>
  <Paragraphs>0</Paragraphs>
  <TotalTime>28</TotalTime>
  <ScaleCrop>false</ScaleCrop>
  <LinksUpToDate>false</LinksUpToDate>
  <CharactersWithSpaces>1285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2025-09-24T08:28:22Z</dcterms:created>
  <dc:creator>eason</dc:creator>
  <cp:lastModifiedBy>L</cp:lastModifiedBy>
  <dcterms:modified xsi:type="dcterms:W3CDTF">2025-09-24T08:57:25Z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eyJoZGlkIjoiMTYxMmJkN2ZjMTlhN2I2ZGY0MDBlMmU0N2U5N2Y4ZjIiLCJ1c2VySWQiOiIyMDgwMDM0NDYifQ==</vt:lpwstr>
  </property>
  <property fmtid="{D5CDD505-2E9C-101B-9397-08002B2CF9AE}" pid="4" name="ICV">
    <vt:lpwstr>7482680034DC44E49F5F9B9DD3BF0CA7_12</vt:lpwstr>
  </property>
</Properties>
</file>