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38E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Autospacing="0" w:afterAutospacing="0" w:line="240" w:lineRule="auto"/>
        <w:ind w:left="0" w:right="0" w:firstLine="0"/>
        <w:jc w:val="center"/>
        <w:textAlignment w:val="auto"/>
      </w:pPr>
      <w:bookmarkStart w:id="0" w:name="_GoBack"/>
      <w:r>
        <w:rPr>
          <w:rFonts w:hint="eastAsia" w:ascii="微软雅黑" w:hAnsi="微软雅黑" w:eastAsia="微软雅黑" w:cs="微软雅黑"/>
          <w:b/>
          <w:bCs/>
          <w:i w:val="0"/>
          <w:iCs w:val="0"/>
          <w:caps w:val="0"/>
          <w:color w:val="3E464C"/>
          <w:spacing w:val="0"/>
          <w:kern w:val="0"/>
          <w:sz w:val="33"/>
          <w:szCs w:val="33"/>
          <w:bdr w:val="none" w:color="auto" w:sz="0" w:space="0"/>
          <w:shd w:val="clear" w:fill="FFFFFF"/>
          <w:lang w:val="en-US" w:eastAsia="zh-CN" w:bidi="ar"/>
        </w:rPr>
        <w:t>教学区楼宇网络有线、无线升级（一期）公开招标招标公告</w:t>
      </w:r>
    </w:p>
    <w:bookmarkEnd w:id="0"/>
    <w:p w14:paraId="3B8F24D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项目概况</w:t>
      </w:r>
    </w:p>
    <w:p w14:paraId="0100F61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受福州职业技术学院委托，福建中恒达建设项目管理有限公司对[350101]ZHD[GK]2026001、教学区楼宇网络有线、无线升级（一期）组织公开招标，现欢迎国内合格的供应商前来参加。教学区楼宇网络有线、无线升级（一期）的潜在投标人应在福建省政府采购网(zfcg.czt.fujian.gov.cn)免费申请账号在福建省政府采购网上公开信息系统按项目获取采购文件，并于2026年09月17日 09时15分00秒（北京时间）前递交投标文件。</w:t>
      </w:r>
    </w:p>
    <w:p w14:paraId="542BFD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一、项目基本情况</w:t>
      </w:r>
    </w:p>
    <w:p w14:paraId="255BD11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项目编号：[350101]ZHD[GK]2026001</w:t>
      </w:r>
    </w:p>
    <w:p w14:paraId="04AB4E3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项目名称：教学区楼宇网络有线、无线升级（一期）</w:t>
      </w:r>
    </w:p>
    <w:p w14:paraId="099017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采购方式：公开招标</w:t>
      </w:r>
    </w:p>
    <w:p w14:paraId="798DDC6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预算金额：2,100,000.00元</w:t>
      </w:r>
    </w:p>
    <w:p w14:paraId="0D6B21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采购包1(教学区楼宇网络有线、无线升级（一期）):</w:t>
      </w:r>
    </w:p>
    <w:p w14:paraId="793984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采购包预算金额：2,100,000.00元</w:t>
      </w:r>
    </w:p>
    <w:p w14:paraId="3D7F198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采购包最高限价： 2,100,000.00元</w:t>
      </w:r>
    </w:p>
    <w:p w14:paraId="4C592D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投标保证金： 0元</w:t>
      </w:r>
    </w:p>
    <w:p w14:paraId="5243622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采购需求：（包括但不限于标的的名称、数量、简要技术需求或服务要求等）</w:t>
      </w:r>
    </w:p>
    <w:tbl>
      <w:tblPr>
        <w:tblW w:w="1020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Layout w:type="fixed"/>
        <w:tblCellMar>
          <w:top w:w="0" w:type="dxa"/>
          <w:left w:w="0" w:type="dxa"/>
          <w:bottom w:w="0" w:type="dxa"/>
          <w:right w:w="0" w:type="dxa"/>
        </w:tblCellMar>
      </w:tblPr>
      <w:tblGrid>
        <w:gridCol w:w="538"/>
        <w:gridCol w:w="864"/>
        <w:gridCol w:w="1066"/>
        <w:gridCol w:w="771"/>
        <w:gridCol w:w="538"/>
        <w:gridCol w:w="4422"/>
        <w:gridCol w:w="1073"/>
        <w:gridCol w:w="933"/>
      </w:tblGrid>
      <w:tr w14:paraId="2B2E66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728" w:hRule="atLeast"/>
          <w:tblHeader/>
        </w:trPr>
        <w:tc>
          <w:tcPr>
            <w:tcW w:w="55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36A428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品目号</w:t>
            </w:r>
          </w:p>
        </w:tc>
        <w:tc>
          <w:tcPr>
            <w:tcW w:w="902"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8769B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品目编码及品目名称</w:t>
            </w:r>
          </w:p>
        </w:tc>
        <w:tc>
          <w:tcPr>
            <w:tcW w:w="111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CCFF4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采购标的</w:t>
            </w:r>
          </w:p>
        </w:tc>
        <w:tc>
          <w:tcPr>
            <w:tcW w:w="80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74B1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数量（单位）</w:t>
            </w:r>
          </w:p>
        </w:tc>
        <w:tc>
          <w:tcPr>
            <w:tcW w:w="556"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06F99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允许进口</w:t>
            </w:r>
          </w:p>
        </w:tc>
        <w:tc>
          <w:tcPr>
            <w:tcW w:w="4175"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4F511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简要需求或要求</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A02B5B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品目预算(元)</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2A0DD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b/>
                <w:bCs/>
                <w:i w:val="0"/>
                <w:iCs w:val="0"/>
                <w:sz w:val="24"/>
                <w:szCs w:val="24"/>
              </w:rPr>
            </w:pPr>
            <w:r>
              <w:rPr>
                <w:rFonts w:ascii="宋体" w:hAnsi="宋体" w:eastAsia="宋体" w:cs="宋体"/>
                <w:b/>
                <w:bCs/>
                <w:i w:val="0"/>
                <w:iCs w:val="0"/>
                <w:kern w:val="0"/>
                <w:sz w:val="24"/>
                <w:szCs w:val="24"/>
                <w:bdr w:val="none" w:color="auto" w:sz="0" w:space="0"/>
                <w:lang w:val="en-US" w:eastAsia="zh-CN" w:bidi="ar"/>
              </w:rPr>
              <w:t>中小企业划分标准所属行业</w:t>
            </w:r>
          </w:p>
        </w:tc>
      </w:tr>
      <w:tr w14:paraId="4D70070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48F48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A5799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159AD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智能网络管理中心一体机</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E7AD2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4C819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802CD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1.千兆电口数≥4，千兆光口数≥4，万兆光口数≥4个，支持≥6个槽位扩展口，并需提供≥1个RJ-45 控制台管理口，USB接口数≥2; 2.最大可支持管理AP数≥8000颗；最大可支持管理交换机数≥1200台；最大可支持管理网关数≥3000台；本次项目实际配置≥500个AP 授权、≥500个交换机授权、≥1个网关授权； 3.本项目管理平台须具备≥1T机械硬盘的数据存储能力。 4.支持802.11a、802.11b、802.11g、802.11n、802.11ac、802.11ac、802.11ac Wave2、802.11ax 802.11e、802.11h、802.11i、802.11k、802.11v协议； 5.支持配置信道优化功能，支持对AP的信道进行自动定时优化，以便于运维管理整个无线网络，实现每天/每周自动优化； 6.支持业务质量感知，能够探测业务系统的丢包率、时延、服务器繁忙次数、连接失败率、抖动、连通性测试成功率，方便运维人员判定业务系统的情况； 7.支持查看整体服务健康度、服务健康度趋势、区域服务健康度、设备服务健康度、用户服务健康度、无线网络服务健康度，方便运维人员评估整体网络使用情况； 8.支持将核心业务区域设置成重点区域，重点保障重点区域的接入体验； 9.支持对接华为、新华三、锐捷、信锐等主流行业网络品牌设备做认证对接，实现全网统一身份认证； 10.支持钉钉、企业微信做基于OAuth2.0协议的用户认证； 11.支持东西向流量安全防护，实现对安全端口组和组间访问行为进行可视化呈现和管控，保障单位内安全组间安全访问控制； 12.支持对无线网络服务进行检测； 13.支持对无线网络环境指标检测功能，可以看到包括信道总利用率、Wi-Fi 信道利用率、非 Wi-Fi 信道利用率、同频 AP 数量等； 14.支持结合无线AP配置采用独立射频WIPS模糊或精准反制非法接入点并实时检测、告警及反制，过程中不影响用户正常网络接入；</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FF9FE3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200,200.00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9C9BE0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534A20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03D0CA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232DC1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3DA13F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AP接入授权</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532BE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510(个)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96947F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B14427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授权数≥510个</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FC7F6A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168,300.00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CA61E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342CC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31F515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1-3</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20D9D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00065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交换机接入授权</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88FC8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480(个)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AC932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100E1A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授权数≥480个</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D10C6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158,400.00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DD61D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4275AD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F8584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1-4</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68B3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714330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吸顶AP</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625F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269(台)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F54450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0F08C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1.最高支持802.11ax 协议，兼容802.11a/b/g/n/ac协议； 2.射频数≥2，Radio1最大传输速率≥500Mbps，Radio2最大传输速率≥2000Mbps，整机最大传输速率≥3Gbps； 3.内置智能天线；千兆以太网口≥1个，并需提供≥1个RJ-45 控制台管理口； 4.支持802.3at标准的PoE供电和本地电源适配器供电两种方式；AP满负荷工作功耗≤20W； 5.ap功率≤100mw，可调节范围1mw-100mw； 6.工作温度：-10~50℃；工作湿度（非凝结）：5%~95%； 7.单射频接入人数最高支持≥128，整机最大接入人数≥240；支持虚拟AP技术，单射频SSID数量最高支持≥16，整机≥32； 8.支持Fat和Fit 两种工作模式，根据网络规划的需要，可以灵活地在Fat和Fit两种工作模式中切换，同时可以根据应用需求，选择工作模式； 8.支持逃生模式，AP与控制器连接中断后，原有用户在线、新用户正常接入，业务不中断；</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9CD3E29">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239,410.00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2E6B4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08190B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5AE7B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1-5</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C73198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2733E9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高密AP</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28B1B2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19(台)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8E9E8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98461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1.支持WiFi 7（802.11be），兼容802.11a/b/g/n/ac/ax；整机最大速率≥4Gbps，射频数≥2，空间流数≥6； 2.支持开放认证、PSK认证、企业认证等多种认证方式； 3.为保证无线的连续性，要求该设备与本项目其余AP设备为同厂家；</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2A37F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70,300.00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296702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C64384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408C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1-6</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358FF4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258720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室外AP(定向)</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6C33D1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4(台)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52450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CF6B0A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1.支持802.11ax协议，兼容802.11a/b/g/n/ac协议，支持2.4G和5G同时工作； 2.整机采用双射频四空间流设计，理论无线传输速率≥2.9Gbps； 3.整机最大接入终端数≥1000； 4.配置≥1个千兆网口，≥1个千兆光口； 5.为适应室外环境，具备IP68防护等级，可工作在-40-70°宽温环境； 6.支持Fat和Fit 两种工作模式，可根据网络规划需要灵活切换； 7.支持AP零配置上线，支持二三层发现、动态地址池、DNS、域名等多种自动发现机制； 8.支持逃生模式，AP与控制器连接中断后，原有用户在线、新用户正常接入，业务不中断；</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039EE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16,400.00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220AE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29A6551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35D04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1-7</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08259E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658A5D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室外AP（全向）</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25D5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8515D4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17A62C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1.支持802.11ax协议，兼容802.11a/b/g/n/ac协议，支持2.4G和5G同时工作； 2.整机采用双射频四空间流设计，理论无线传输速率≥2.9Gbps； 3.整机最大接入终端数≥1000； 4.配置≥1个千兆网口，≥1个千兆光口； 5.为适应室外环境，具备IP68防护等级，可工作在-40-70°宽温环境； 6.支持外置天线，根据场景需求灵活选择全向和定向天线； 7.支持Fat和Fit 两种工作模式，可根据网络规划需要灵活切换； 8.支持虚拟AP技术，单射频SSID数量最高支持≥16个，整机≥32个； 9.支持AP零配置上线，支持二三层发现、动态地址池选项43、DNS、域名等多种自动发现机制； 10.支持逃生模式，AP与控制器连接中断后，原有用户在线、新用户正常接入，业务不中断；</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1CF23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10,000.00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D72A8B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4196F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99F7D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1-8</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ACA92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AA1943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Poe注入器</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0D3E4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6(个)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AB1513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498B72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功率≥30W防雷加强型千兆PoE供电器</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3AA02F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22,800.00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45A13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6A06FB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1F52E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1-9</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58BA5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D7BBF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防雷器</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412CE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6(个)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4BBA1C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B69BC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≥1000M 以太网网口防雷器</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13A587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21,600.00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E26D8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34608A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F64CB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1-10</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F08B8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D68E5A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防水套件</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B73B70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3(套)</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557C5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7F1D50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包含防水胶带和防水胶泥，用于室外AP的天线接口连接处、网口连接处</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2FE33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2,700.00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94AC67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0A43686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5492F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1-11</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4D2354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A062DF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8口POE交换机</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7A9CBB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240(台)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BF8C0B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663830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 千兆POE电口数≥8个，千兆光口≥4个；控制台口≥1个； 2. 交换容量≥600Gbps，包转发率≥100Mpps； 3.支持IEEE 802.3af/at供电标准，整机最大输出功率≥120W； 4. 支持互联网组管理协议‌ v1/v2/v3 监听检测，支持STP、RSTP、MSTP协议，支持端口聚合，支持手工和静态LACP； 5. 支持防网关ARP欺骗，支持端口保护、隔离、防止ARP泛洪攻击功能，支持动态地址池 监听检测，支持交换机端口设置为信任端口或非信任端口，非信任端口也可设置白名单响应动态地址池报文； 6．支持配套管理平台实现流量监测，满足用户流量路径可视化管理； 7. 支持通过APP进行远程管理，并且可以修改交换机网络配置； 8. 支持终端类型库，基于指纹终端识别库自动识别PC、路由器、摄像头设备、无线AP等； 10.交换机支持与外部安全感知平台联动，且联动实现从系统及接入层交换机对风险终端MAC地址进行封堵；交换机支持与外部防火墙联动，且联动实现从系统及接入层交换机对风险终端MAC地址进行封堵； 11. 支持在交换机上创建东西向安全策略，实现全网安全风险拦截；并支持各个区域/角色流量互访记录并呈现，支持攻击源定位，检测到攻击源后根据策略将终端拉黑，防止终端持续攻击</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649A7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696,000.00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65A1BA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2DE504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E83E4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1-12</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1B3317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6977D5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24口POE交换机</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5DA559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5E3B61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5D02B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1.千兆POE电口≥24个， 1G光口≥4个，2.5G光口≥4个；控制台口≥1个； 2.交换容量≥600Gbps；包转发率≥100Mpps； 3.支持IEEE 802.3af/at供电标准，整机最大输出功率≥370W 4.支持互联网组管理协议‌ v1/v2/v3 监听检测，支持STP、RSTP、MSTP协议，支持端口聚合，支持手工和静态LACP； 5.支持防网关ARP欺骗，支持端口保护、隔离、防止ARP泛洪攻击功能，支持动态地址池监听检测，支持交换机端口设置为信任端口或非信任端口，非信任端口也可设置白名单响应动态地址池报文； 6支持配套管理平台实现流量监测，满足用户流量路径可视化管理； 7.支持通过APP进行远程管理，并且可以修改交换机网络配置； 9.支持终端类型库，基于指纹终端识别库自动识别PC、路由器、摄像头设备、无线AP等； 10.交换机支持与外部安全感知平台联动，且联动实现从系统及接入层交换机对风险终端MAC地址进行封堵；交换机支持与外部防火墙联动，且联动实现从系统及接入层交换机对风险终端MAC地址进行封堵； 11. 支持在交换机上创建东西向安全策略，实现全网安全风险拦截；并支持各个区域/角色流量互访记录并呈现，支持攻击源定位，检测到攻击源后根据策略将终端拉黑，防止终端持续攻击；</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EFD1136">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13,200.00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C911D1E">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F8AAF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DC83B5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1-13</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C9DABE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E17A32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8口接入交换机</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41E4A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3(台)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DB1E31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53925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1.千兆电口≥8个，千兆光口≥4个；控制台口≥1个； 2. 交换容量≥600Gbps；包转发率≥100Mpps； 3. 支持互联网组管理协议‌ v1/v2/v3 监听检测，支持STP、RSTP、MSTP协议，支持端口聚合，支持手工和静态LACP； 4. 支持防网关ARP欺骗，支持端口保护、隔离、防止ARP泛洪攻击功能，支持动态地址池监听检测，支持交换机端口设置为信任端口或非信任端口，非信任端口也可设置白名单响应动态地址池报文； 5.支持终端类型库，基于指纹终端识别库自动识别PC、路由器、摄像头设备、无线AP等； 6. 交换机支持与外部安全感知平台联动，且联动实现从系统及接入层交换机对风险终端MAC地址进行封堵；交换机支持与外部防火墙联动，且联动实现从系统及接入层交换机对风险终端MAC地址进行封堵； 7.支持在交换机上创建东西向安全策略，实现全网安全风险拦截；并支持各个区域/角色流量互访记录并呈现，支持攻击源定位，检测到攻击源后根据策略将终端拉黑，防止终端持续攻击；</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FD7B78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7,800.00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F404C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5A6909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D45DC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1-14</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F6A339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56747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光纤交换机</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B7E73B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13(台)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80DF6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5562BC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1.千兆光口≥24个，千兆组合电口≥4个（可与前面的24个光口中的4个复用），万兆光口≥4个，控制台口≥1个； 2.交换容量≥400Gbps，包转发率≥100Mpps； 3.三层功能支持静态路由、动态地址池服务进程；二层功能支持MAC地址表容量≥16K，支持MAC地址自动学习；支持源MAC地址过滤；支持接口MAC地址学习个数限制≤100个；支持≤4096个VLAN；支持互联网组管理协议‌ v1/v2/v3 监听检测；支持STP、RSTP、MSTP协议；支持端口聚合，支持手工和静态LACP； 4.支持智能交换机和普通交换机两种工作模式，可以根据不同的组网需要，随时灵活的进行切换； 5.支持防网关ARP欺骗，支持端口保护、隔离、防止ARP泛洪攻击功能； 6.支持动态地址池 监听检测，支持交换机端口设置为信任端口或非信任端口，非信任端口也可设置白名单响应动态地址池报文； 7.支持通过静态IP地址、动态地址池、DNS域名等方式发现网管中心平台； 8.支持通过网管中心平台，在交换机上创建东西向安全策略，实现全网安全风险拦截；并支持各区域流量互访记录并呈现，可通过日志查看各终端之间的互访记录；并可查看到可视化的互访图显示，可查看到观察区域和保护区域的数量、安全访问、风险访问次数、拦截次数、攻击终端数量等； 9.支持通过网管中心平台，实现交换机拓扑自动生成和编辑、删除，支持在线、离线、待激活、待修复等状态显示，支持拓扑对象按名称、IP、MAC等查找等操作；</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6092A8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104,000.00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34B0B8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49198CD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399AB1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1-15</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B2A4DC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CAFA15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千兆单模光模块</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3E0C3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502(个)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8E94C5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97EC8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千兆单模光模块，光波波长为1310纳米，最大传输距离≥10km</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C5108F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95,380.00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A1D47D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012C3F4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7928F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1-16</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B039AD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CC1DB0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万兆单模光模块</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63AFC3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26(个)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B537C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9706C1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万兆单模光模块，光波波长为1310纳米，最大传输距离≥10km</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019C24">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7,800.00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3D207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C404A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4B17DE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1-17</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DBA0B3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86FD3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2芯光纤</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77127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34(盘)</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C9D4D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9BE56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1.符合GB/T 50312-2016标准。 2.室内；纤芯直径≥9微米、包层直径≥125微米的单模光纤。 3.使用温度-20℃~+60℃；允许拉伸力长期≥40N（采用金属作为加强件的拉伸力≥100N）,短期≥80N（采用金属作为加强件的拉伸力≥200N）；允许压扁力长期500N/100mm，短期1000N/100mm；动态弯曲半径≥光缆外径的‌20 倍，静态弯曲半径≥光缆外径的10 倍。 4.产品尺寸小、重量轻、结构紧凑，采用独特的凹槽设计，方便接续，简化安装和维护。 5.光缆在弹性方面进行特殊设计，适用于室内及终端安装等经常需要弯曲光缆的情况。 6.光纤置于两根加强件中间，具有优异的抗侧压和抗拉性能。 7.采用G.657弯曲不敏感光纤的蝶形光缆具有优异的抗弯曲性能，在室内拐弯和小空间环境布放，不会影响光缆的传输损耗。 （G.657是指弯曲衰减不敏感单模光纤光缆特性”的标准是ITU-T于2006年11月发布的标准） 8.采用低烟无卤材料作为光缆护套。</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25084E3">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34,000.00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E110BFB">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FF469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3D4267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1-18</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994C3B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489687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8芯光缆</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665D11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5(盘)</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7713A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EF024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1.符合GB/T 50312-2016标准。 2.室外；使用温度-20℃~+60℃；抗拉力长期≥600N，短期≥1500N；允许压扁力（长期/短期）：300-1000（N/100mm）；动态弯曲半径≥光缆外径的‌20倍，静态弯曲半径≥光缆外径的10倍。 3.两根平行钢丝保证光缆的抗拉强度。 4.外护套采用低密度聚乙烯材料，具有良好的防水、防油、防晒功能。 5.套管内填充阻水油膏，有效保护纤芯。 6.双面涂塑钢带提供防动物啮咬和抗透潮能力。 7.环保阻水带及特种纤膏的双重阻水结构，确保优良的隔潮密封性能。</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1CBF1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4,800.00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1DC676F">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0CD9F1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FAB4D3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1-19</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CB64F5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AFFB19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电源线</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B7ECC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72(盘)</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13BEC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E3AEC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1.标准：GB/T5023.5； 2.额定电压：300/300V； 3.导体工作温度：≤70℃； 4.导体：无氧铜； 5.绝缘：PVC/D，绝缘工艺：护套式； 6.包带：绕包塑料薄膜（PET）； 7.护套：PVC/ST5，护套工艺：半挤压式； 8.静态最小弯曲半径≥电缆外径的‌20倍； 9.安装温度：0℃~+50℃，工作温度：-15℃~+60℃； 10.使用场景：室内穿管或室内桥架固定敷设；</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0CF37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43,200.00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7E99F78">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43685F6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6C921D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1-20</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395014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78367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六类网络线</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85BEB3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44(盘)</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E8D0C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B76BF2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1.性能符合GB/T 50312-2016六类标准。 2.中心PE十字骨架分开了线对并维持稳定的线对位置，减小了近端串扰损耗（NEXT）和保持了阻抗稳定，提供更稳定的性能及线缆支撑。 3.绝缘层材料为高密度聚乙烯（HDPE），外护套材料为低烟无卤。 4.电气性能：工作电容≤6nF/100米；线对对地电容不平衡≤400 pF/100米；额定传输速率（NVP)：≥65% ；线对时延差≤50ns/100米；线对直流不平衡电阻≤2%。 5.绝缘电阻≥5000MΩ/km。 6.物理特性：传输带宽大于250MHz。</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08B864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52,800.00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22E5FC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682C1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E3F087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1-21</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58EB78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E935C8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4口熔接盒</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6FEEC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240(个)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8B1EB5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D17699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1.适用于光纤接入网中的光纤终端点，有光缆的配线和熔接功能，可以实现光缆纤芯的灵活跳接及存储。 2.壳体采用环氧静电喷塑。 3.收容尾纤设置于墙上，用于光纤熔接或端接。 4.提供有效光纤接续收容盘及整理间，并可提供有效熔接盘。</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3CB40D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7,200.00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80E292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1AA8D90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7FF86F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1-22</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08256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35B285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24口熔接盒</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165777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33965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C9AAD9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1.箱体采用优质冷轧钢板材料，表面环氧静电喷塑处理，外形美观。 2.按标准网络机柜安装，尾纤收容设置于机架内，用于纤熔接或研磨处理。 3.前面板可拆卸式设计，兼容ST、SC、FC及LC光纤藕合器接口。 4.配线架的开启方式为免工具设计，易于维护和管理。 5.全封闭式结构，光纤跳线不外露，外观整洁有序，防尘效果好。 6.藕合器既保证了跳线的弯曲曲率半径，又可避免激光灼伤人眼。 7.前部自带理线槽，左右、下部设有出线口方便跳纤转接。 8.走线通道带有橡胶保护套，防止损伤跳线外护套。</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191C3A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3,600.00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F610D7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2CCF3F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20B46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1-23</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DAA6BA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314FFB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光纤跳纤</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CEB9E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528(条)</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FDD75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E6999F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1.插入损耗≤0.2db；温度范围-40℃~+85℃；重复性≤0.2db；互换性≤0.2db；回波损耗≥45db。 2.采用低插入损耗和反射的优质材质，具有很好的光学性能，可以和适配器实现简单安装，增强性和抗拉设计提供有效了较高的机械稳定性。 3.采用青铜套管，确保良好的物理承接力和插接能力，连续插拔插损小。</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A8BA59D">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13,200.00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349BC8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33A270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10637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1-24</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057136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FC2239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尾纤</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7A4B67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848(条)</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02404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EF9B1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1.插入损耗≤0.2db；温度范围-40℃~+85℃；重复性≤0.2db；互换性≤0.2db；回波损耗≥45db。 2.采用低插入损耗和反射的优质材质，具有很好的光学性能，可以和适配器实现简单安装，增强性和抗拉设计提供有效了较高的机械稳定性。 3.采用青铜套管，确保良好的物理承接力和插接能力，连续插拔插损小。</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15D0958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6,360.00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7FC4BB2">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28CB36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F7A4BA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1-25</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674BCE1">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A63311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耦合器</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FDACC1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1,512(个)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66FA5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116B76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1.插入损耗&lt;0.2dB，反射损耗&gt;55dB，温度范围-40~+85摄氏度，耐久性≥1000次，变化≤0.2dB。 2.二氧化锆套管，产品光洁度高，高精度机械尺寸。 3.一体化的内部结构独特设计，结构更简单，使用更轻松，易于装配，提高效率。良好的稳定性能，连续插拔试验插损小。</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0038B7C">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3,780.00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81E3CC0">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75CC702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C2EC2B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1-26</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7D0FEDA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488B1F0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汇聚挂箱</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9A30D2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240(个)</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47B9F5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72EA48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1.兼容19英寸国标标准、公制标准和ETSI标准，符合GB/T 50312-2016标准。 2.全部选用优质冷轧钢板制作。前门为钢化玻璃门，钢化玻璃≥5mm，宽度≥600mm，深度≥400mm，高度≥300mm，钢板厚度≥1.5㎜。 3.最大承载达≥60Kg。 4.兼容顶盖、底部多种进线方式，方便施工。 5.齐全的可选配件，配置L型导轨一付。</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0140165">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79,680.00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21C834C1">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r w14:paraId="7E8370F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tblCellMar>
            <w:top w:w="0" w:type="dxa"/>
            <w:left w:w="0" w:type="dxa"/>
            <w:bottom w:w="0" w:type="dxa"/>
            <w:right w:w="0" w:type="dxa"/>
          </w:tblCellMar>
        </w:tblPrEx>
        <w:trPr>
          <w:trHeight w:val="480" w:hRule="atLeast"/>
        </w:trPr>
        <w:tc>
          <w:tcPr>
            <w:tcW w:w="51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64065B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1-27</w:t>
            </w:r>
          </w:p>
        </w:tc>
        <w:tc>
          <w:tcPr>
            <w:tcW w:w="77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515D7D5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A02010299-其他网络设备</w:t>
            </w:r>
          </w:p>
        </w:tc>
        <w:tc>
          <w:tcPr>
            <w:tcW w:w="981"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60F2A50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智慧电源控制保护器</w:t>
            </w:r>
          </w:p>
        </w:tc>
        <w:tc>
          <w:tcPr>
            <w:tcW w:w="79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915E1E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1(台)</w:t>
            </w:r>
          </w:p>
        </w:tc>
        <w:tc>
          <w:tcPr>
            <w:tcW w:w="490"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8D1863F">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否</w:t>
            </w:r>
          </w:p>
        </w:tc>
        <w:tc>
          <w:tcPr>
            <w:tcW w:w="4677"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505342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right="0"/>
              <w:jc w:val="center"/>
              <w:textAlignment w:val="auto"/>
              <w:rPr>
                <w:sz w:val="24"/>
                <w:szCs w:val="24"/>
              </w:rPr>
            </w:pPr>
            <w:r>
              <w:rPr>
                <w:rFonts w:ascii="宋体" w:hAnsi="宋体" w:eastAsia="宋体" w:cs="宋体"/>
                <w:kern w:val="0"/>
                <w:sz w:val="24"/>
                <w:szCs w:val="24"/>
                <w:bdr w:val="none" w:color="auto" w:sz="0" w:space="0"/>
                <w:lang w:val="en-US" w:eastAsia="zh-CN" w:bidi="ar"/>
              </w:rPr>
              <w:t>1.产品高度：≤2U。 2.主菜单：显示屏上显示主页、电压、监测、网络、定时、遥控、延时、级联、屏保、信息。 3.支持通道用电监测：可实时显示每一路的工作电流，整机负载耗电的功率统计。 4.主页面：显示当前北京时间、设备当前IP地址、童锁状态、联网状态、菜单页入口、说明书和小程序二维码入口、设备当前的工作电压、耗电功率、温度和湿度、八通道的工作状态。 5.设备信息：可查看设备编号、工作时长及累计用电量. 6.配置管理员：用户通过手机微信扫描二维码绑定设备，绑定后成为设备管理员，管理员可自由分配控制用户。设备绑定后二维码立即失效保证远程控制安全性。 7.控制墙板：可选配触摸墙板，远程控制通道、场景编辑，多种模式切换控制，自定义编辑场景，双向数据同步，支持掉线提醒，设备连接中断会弹窗提醒。 8、RJ45插座：≥1路LINKIN，≥1路LINK OUT，≥1路RS232/485，1路TCP/IP； 9.启动方式：支持电源开关时序启动，支持红外遥控启动、支持433射频遥控启动、支持移动终端控制启动，支持PC端控制启动。可支持红外遥控器开启或关闭所有通道。 10.支持电压保护：支持高低压保护设置，当工作电压超过或低于预设值时，会自动断电并弹窗报警提示。</w:t>
            </w:r>
          </w:p>
        </w:tc>
        <w:tc>
          <w:tcPr>
            <w:tcW w:w="1123"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0DC0DCBA">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17,090.00</w:t>
            </w:r>
          </w:p>
        </w:tc>
        <w:tc>
          <w:tcPr>
            <w:tcW w:w="974" w:type="dxa"/>
            <w:tcBorders>
              <w:top w:val="single" w:color="333333" w:sz="6" w:space="0"/>
              <w:left w:val="single" w:color="333333" w:sz="6" w:space="0"/>
              <w:bottom w:val="single" w:color="333333" w:sz="6" w:space="0"/>
              <w:right w:val="single" w:color="333333" w:sz="6" w:space="0"/>
            </w:tcBorders>
            <w:shd w:val="clear"/>
            <w:tcMar>
              <w:top w:w="75" w:type="dxa"/>
              <w:left w:w="120" w:type="dxa"/>
              <w:bottom w:w="75" w:type="dxa"/>
              <w:right w:w="120" w:type="dxa"/>
            </w:tcMar>
            <w:vAlign w:val="center"/>
          </w:tcPr>
          <w:p w14:paraId="3B936937">
            <w:pPr>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jc w:val="right"/>
              <w:textAlignment w:val="auto"/>
              <w:rPr>
                <w:sz w:val="24"/>
                <w:szCs w:val="24"/>
              </w:rPr>
            </w:pPr>
            <w:r>
              <w:rPr>
                <w:rFonts w:ascii="宋体" w:hAnsi="宋体" w:eastAsia="宋体" w:cs="宋体"/>
                <w:kern w:val="0"/>
                <w:sz w:val="24"/>
                <w:szCs w:val="24"/>
                <w:bdr w:val="none" w:color="auto" w:sz="0" w:space="0"/>
                <w:lang w:val="en-US" w:eastAsia="zh-CN" w:bidi="ar"/>
              </w:rPr>
              <w:t>工业</w:t>
            </w:r>
          </w:p>
        </w:tc>
      </w:tr>
    </w:tbl>
    <w:p w14:paraId="6891057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本采购包不接受联合体投标</w:t>
      </w:r>
    </w:p>
    <w:p w14:paraId="760A5C0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合同履行期限：合同签订之日起10日内完成供货，60日内完成安装调试</w:t>
      </w:r>
    </w:p>
    <w:p w14:paraId="653405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二、申请人的资格要求：</w:t>
      </w:r>
    </w:p>
    <w:p w14:paraId="2D1CC06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1.满足《中华人民共和国政府采购法》第二十二条规定;</w:t>
      </w:r>
    </w:p>
    <w:p w14:paraId="03FC9E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240" w:lineRule="auto"/>
        <w:ind w:left="0" w:right="0" w:firstLine="0"/>
        <w:jc w:val="both"/>
        <w:textAlignment w:val="auto"/>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bdr w:val="none" w:color="auto" w:sz="0" w:space="0"/>
          <w:shd w:val="clear" w:fill="FFFFFF"/>
          <w:lang w:val="en-US" w:eastAsia="zh-CN" w:bidi="ar"/>
        </w:rPr>
        <w:t>2.落实政府采购政策需满足的资格要求：</w:t>
      </w:r>
    </w:p>
    <w:p w14:paraId="288332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采购包1：无</w:t>
      </w:r>
    </w:p>
    <w:p w14:paraId="055B34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Autospacing="0" w:afterAutospacing="0" w:line="240" w:lineRule="auto"/>
        <w:ind w:left="0" w:right="0" w:firstLine="0"/>
        <w:jc w:val="both"/>
        <w:textAlignment w:val="auto"/>
        <w:rPr>
          <w:rFonts w:hint="eastAsia" w:ascii="宋体" w:hAnsi="宋体" w:eastAsia="宋体" w:cs="宋体"/>
          <w:i w:val="0"/>
          <w:iCs w:val="0"/>
          <w:caps w:val="0"/>
          <w:color w:val="222222"/>
          <w:spacing w:val="0"/>
          <w:sz w:val="24"/>
          <w:szCs w:val="24"/>
        </w:rPr>
      </w:pPr>
      <w:r>
        <w:rPr>
          <w:rFonts w:hint="eastAsia" w:ascii="宋体" w:hAnsi="宋体" w:eastAsia="宋体" w:cs="宋体"/>
          <w:i w:val="0"/>
          <w:iCs w:val="0"/>
          <w:caps w:val="0"/>
          <w:color w:val="222222"/>
          <w:spacing w:val="0"/>
          <w:kern w:val="0"/>
          <w:sz w:val="24"/>
          <w:szCs w:val="24"/>
          <w:bdr w:val="none" w:color="auto" w:sz="0" w:space="0"/>
          <w:shd w:val="clear" w:fill="FFFFFF"/>
          <w:lang w:val="en-US" w:eastAsia="zh-CN" w:bidi="ar"/>
        </w:rPr>
        <w:t>3.本项目的特定资格要求：</w:t>
      </w:r>
    </w:p>
    <w:p w14:paraId="6DC79F6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采购包1：</w:t>
      </w:r>
    </w:p>
    <w:p w14:paraId="39706AF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(1)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p w14:paraId="232FC0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三、采购项目需要落实的政府采购政策</w:t>
      </w:r>
    </w:p>
    <w:p w14:paraId="0433F60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进口产品：不适用。</w:t>
      </w:r>
    </w:p>
    <w:p w14:paraId="7A63E88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节能产品：执行财政部 发展改革委 生态环境部 市场监管总局印发《关于调整优化节能产品、环境标志产品政府采购执行机制的通知》(财库〔2019〕9号)的规定。</w:t>
      </w:r>
    </w:p>
    <w:p w14:paraId="04C84A3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环境标志产品：执行财政部 发展改革委 生态环境部 市场监管总局印发《关于调整优化节能产品、环境标志产品政府采购执行机制的通知》(财库〔2019〕9号)的规定。</w:t>
      </w:r>
    </w:p>
    <w:p w14:paraId="15D4CA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四、获取招标文件</w:t>
      </w:r>
    </w:p>
    <w:p w14:paraId="0C688C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时间： 2026-08-25 至 2026-09-01 ，（提供期限自本公告发布之日起不得少于5个工作日），每天上午00:00:00至12:00:00，下午12:00:00至23:59:59（北京时间，法定节假日除外）</w:t>
      </w:r>
    </w:p>
    <w:p w14:paraId="37B07DA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点：招标文件随同本项目招标公告一并发布；投标人应先在福建省政府采购网(zfcg.czt.fujian.gov.cn)免费申请账号在福建省政府采购网上公开信息系统按项目下载招标文件(请根据项目所在地，登录对应的(省本级/市级/区县)）福建省政府采购网上公开信息系统操作)，否则投标将被拒绝。</w:t>
      </w:r>
    </w:p>
    <w:p w14:paraId="46E8425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方式：在线获取</w:t>
      </w:r>
    </w:p>
    <w:p w14:paraId="34A162B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售价：免费</w:t>
      </w:r>
    </w:p>
    <w:p w14:paraId="33B387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五、提交投标文件截止时间、开标时间和地点</w:t>
      </w:r>
    </w:p>
    <w:p w14:paraId="4880FA9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2026-09-17 09:15:00（北京时间）（自招标文件开始发出之日起至投标人提交投标文件截止之日止，不得少于20日）</w:t>
      </w:r>
    </w:p>
    <w:p w14:paraId="218B2E9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地点：福建省福州市仓山区南江滨西大道199号福州市城市规划展示馆3楼福州市公共资源交易服务中心</w:t>
      </w:r>
    </w:p>
    <w:p w14:paraId="6F3203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六、公告期限</w:t>
      </w:r>
    </w:p>
    <w:p w14:paraId="44C5484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自本公告发布之日起5个工作日。</w:t>
      </w:r>
    </w:p>
    <w:p w14:paraId="0D3B80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七、其他补充事宜</w:t>
      </w:r>
    </w:p>
    <w:p w14:paraId="65F541D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无</w:t>
      </w:r>
    </w:p>
    <w:p w14:paraId="3CE006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rStyle w:val="7"/>
          <w:b/>
          <w:bCs/>
          <w:i w:val="0"/>
          <w:iCs w:val="0"/>
          <w:caps w:val="0"/>
          <w:color w:val="222222"/>
          <w:spacing w:val="0"/>
          <w:sz w:val="24"/>
          <w:szCs w:val="24"/>
          <w:bdr w:val="none" w:color="auto" w:sz="0" w:space="0"/>
          <w:shd w:val="clear" w:fill="FFFFFF"/>
        </w:rPr>
        <w:t>八、对本次招标提出询问，请按以下方式联系。</w:t>
      </w:r>
    </w:p>
    <w:p w14:paraId="1A54070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b w:val="0"/>
          <w:bCs w:val="0"/>
          <w:i w:val="0"/>
          <w:iCs w:val="0"/>
          <w:caps w:val="0"/>
          <w:color w:val="222222"/>
          <w:spacing w:val="0"/>
          <w:sz w:val="24"/>
          <w:szCs w:val="24"/>
          <w:bdr w:val="none" w:color="auto" w:sz="0" w:space="0"/>
          <w:shd w:val="clear" w:fill="FFFFFF"/>
        </w:rPr>
        <w:t>1.采购人信息</w:t>
      </w:r>
    </w:p>
    <w:p w14:paraId="267C5B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名称：福州职业技术学院</w:t>
      </w:r>
    </w:p>
    <w:p w14:paraId="5C660E5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地址：福州市闽侯上街联榕路8号</w:t>
      </w:r>
    </w:p>
    <w:p w14:paraId="303D36A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联系方式：83760305</w:t>
      </w:r>
    </w:p>
    <w:p w14:paraId="625CEA7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b w:val="0"/>
          <w:bCs w:val="0"/>
          <w:i w:val="0"/>
          <w:iCs w:val="0"/>
          <w:caps w:val="0"/>
          <w:color w:val="222222"/>
          <w:spacing w:val="0"/>
          <w:sz w:val="24"/>
          <w:szCs w:val="24"/>
          <w:bdr w:val="none" w:color="auto" w:sz="0" w:space="0"/>
          <w:shd w:val="clear" w:fill="FFFFFF"/>
        </w:rPr>
        <w:t>2.采购代理机构信息（如有）</w:t>
      </w:r>
    </w:p>
    <w:p w14:paraId="6D098AD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名称：福建中恒达建设项目管理有限公司</w:t>
      </w:r>
    </w:p>
    <w:p w14:paraId="72A9BCD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地址：福州市晋安区六一北路92号实发大厦12层</w:t>
      </w:r>
    </w:p>
    <w:p w14:paraId="058CE1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联系方式：0591-87571915</w:t>
      </w:r>
    </w:p>
    <w:p w14:paraId="408299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left"/>
        <w:textAlignment w:val="auto"/>
        <w:rPr>
          <w:b w:val="0"/>
          <w:bCs w:val="0"/>
          <w:sz w:val="24"/>
          <w:szCs w:val="24"/>
        </w:rPr>
      </w:pPr>
      <w:r>
        <w:rPr>
          <w:b w:val="0"/>
          <w:bCs w:val="0"/>
          <w:i w:val="0"/>
          <w:iCs w:val="0"/>
          <w:caps w:val="0"/>
          <w:color w:val="222222"/>
          <w:spacing w:val="0"/>
          <w:sz w:val="24"/>
          <w:szCs w:val="24"/>
          <w:bdr w:val="none" w:color="auto" w:sz="0" w:space="0"/>
          <w:shd w:val="clear" w:fill="FFFFFF"/>
        </w:rPr>
        <w:t>3.项目联系方式</w:t>
      </w:r>
    </w:p>
    <w:p w14:paraId="3C2E987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项目联系人：潘素华、庄世清、赵夫燊、钟塬</w:t>
      </w:r>
    </w:p>
    <w:p w14:paraId="0269054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电话：0591-87571915</w:t>
      </w:r>
    </w:p>
    <w:p w14:paraId="322AD16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网址： zfcg.czt.fujian.gov.cn</w:t>
      </w:r>
    </w:p>
    <w:p w14:paraId="2BA9234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both"/>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开户名：福建中恒达建设项目管理有限公司</w:t>
      </w:r>
    </w:p>
    <w:p w14:paraId="288249D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right"/>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福建中恒达建设项目管理有限公司</w:t>
      </w:r>
    </w:p>
    <w:p w14:paraId="147596E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480"/>
        <w:jc w:val="right"/>
        <w:textAlignment w:val="auto"/>
        <w:rPr>
          <w:sz w:val="24"/>
          <w:szCs w:val="24"/>
        </w:rPr>
      </w:pPr>
      <w:r>
        <w:rPr>
          <w:rFonts w:hint="eastAsia" w:ascii="宋体" w:hAnsi="宋体" w:eastAsia="宋体" w:cs="宋体"/>
          <w:i w:val="0"/>
          <w:iCs w:val="0"/>
          <w:caps w:val="0"/>
          <w:color w:val="222222"/>
          <w:spacing w:val="0"/>
          <w:sz w:val="24"/>
          <w:szCs w:val="24"/>
          <w:bdr w:val="none" w:color="auto" w:sz="0" w:space="0"/>
          <w:shd w:val="clear" w:fill="FFFFFF"/>
        </w:rPr>
        <w:t>2026年08月25日</w:t>
      </w:r>
    </w:p>
    <w:p w14:paraId="06340996">
      <w:pPr>
        <w:keepNext w:val="0"/>
        <w:keepLines w:val="0"/>
        <w:pageBreakBefore w:val="0"/>
        <w:kinsoku/>
        <w:overflowPunct/>
        <w:topLinePunct w:val="0"/>
        <w:autoSpaceDE/>
        <w:autoSpaceDN/>
        <w:bidi w:val="0"/>
        <w:adjustRightInd/>
        <w:snapToGrid/>
        <w:spacing w:line="240" w:lineRule="auto"/>
        <w:textAlignment w:val="auto"/>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701B74"/>
    <w:rsid w:val="6F701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3">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2026-08-25T04:31:00Z</dcterms:created>
  <dc:creator>绵绵</dc:creator>
  <cp:lastModifiedBy>绵绵</cp:lastModifiedBy>
  <dcterms:modified xsi:type="dcterms:W3CDTF">2026-08-25T04:33:20Z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A0178499165642E194C50C295E43863B_11</vt:lpwstr>
  </property>
  <property fmtid="{D5CDD505-2E9C-101B-9397-08002B2CF9AE}" pid="4" name="KSOTemplateDocerSaveRecord">
    <vt:lpwstr>eyJoZGlkIjoiZmEyZWRmOGFiNDNjNjgzZjE2MTkzN2RlNWE1YTY2MWIiLCJ1c2VySWQiOiIyMzM2MzI2NTEifQ==</vt:lpwstr>
  </property>
</Properties>
</file>