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tLeast" w:line="300" w:before="100" w:beforeAutospacing="1" w:afterAutospacing="1" w:after="100"/>
        <w:rPr>
          <w:b w:val="1"/>
          <w:color w:val="000000" w:themeColor="text1"/>
          <w:sz w:val="56"/>
          <w:szCs w:val="56"/>
          <w:rFonts w:asciiTheme="majorEastAsia" w:eastAsiaTheme="majorEastAsia" w:hAnsiTheme="majorEastAsia" w:cstheme="majorEastAsia"/>
        </w:rPr>
        <w:outlineLvl w:val="1"/>
        <w:snapToGrid w:val="on"/>
      </w:pPr>
    </w:p>
    <w:p>
      <w:pPr>
        <w:jc w:val="center"/>
        <w:spacing w:lineRule="atLeast" w:line="240" w:after="0"/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outlineLvl w:val="1"/>
        <w:snapToGrid w:val="on"/>
      </w:pPr>
      <w:r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t>福州职业技术学院2021年</w:t>
      </w:r>
    </w:p>
    <w:p>
      <w:pPr>
        <w:jc w:val="center"/>
        <w:spacing w:lineRule="atLeast" w:line="240" w:after="0"/>
        <w:rPr>
          <w:b w:val="1"/>
          <w:color w:val="000000" w:themeColor="text1"/>
          <w:sz w:val="36"/>
          <w:szCs w:val="36"/>
          <w:rFonts w:ascii="黑体" w:eastAsia="黑体" w:hAnsi="黑体" w:cstheme="majorEastAsia"/>
        </w:rPr>
        <w:outlineLvl w:val="1"/>
        <w:snapToGrid w:val="on"/>
      </w:pPr>
      <w:r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t>防校园贷、防诈骗、防非法集资安全宣传活动</w:t>
      </w:r>
      <w:r>
        <w:rPr>
          <w:b w:val="1"/>
          <w:color w:val="000000" w:themeColor="text1"/>
          <w:sz w:val="36"/>
          <w:szCs w:val="36"/>
          <w:rFonts w:ascii="黑体" w:eastAsia="黑体" w:hAnsi="黑体" w:cs="黑体" w:hint="eastAsia"/>
        </w:rPr>
        <w:t>方案</w:t>
      </w:r>
    </w:p>
    <w:p>
      <w:pPr>
        <w:rPr>
          <w:b w:val="1"/>
          <w:sz w:val="36"/>
          <w:szCs w:val="36"/>
        </w:rPr>
      </w:pPr>
    </w:p>
    <w:p>
      <w:pPr>
        <w:spacing w:lineRule="exact" w:line="520" w:after="0"/>
        <w:ind w:firstLine="60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如今，不良网贷、传销、诈骗团伙“黑手”频频伸向在校大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学生，由于在校学生社会接触面不广，思想比较单纯，缺乏识别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陷阱的能力，而很多人又具有积累社会经验的渴望，这些组织往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往迎合他们的这种心理，使得在校大学生深陷不法深渊中。为了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抵制这种现象的出现，福州职业技术学院学院以科学发展观的重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要思想为指导，以安全法律法规为准绳，以保障全院师生人身财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产安全和学生的健康成长为目标。特将2021年我校防范不良校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园贷、防范传销、防诈骗、防非法集资陷阱主题教育活动方案制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定如下:</w:t>
      </w:r>
    </w:p>
    <w:p>
      <w:pPr>
        <w:spacing w:lineRule="exact" w:line="520" w:after="0"/>
        <w:ind w:left="560" w:firstLine="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一、</w:t>
      </w: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 xml:space="preserve"> 活动主题</w:t>
      </w:r>
    </w:p>
    <w:p>
      <w:pPr>
        <w:spacing w:lineRule="exact" w:line="520" w:after="0"/>
        <w:ind w:firstLine="60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“</w:t>
      </w:r>
      <w:r>
        <w:rPr>
          <w:color w:val="333333"/>
          <w:sz w:val="30"/>
          <w:szCs w:val="30"/>
          <w:rFonts w:ascii="仿宋" w:eastAsia="仿宋" w:hAnsi="仿宋" w:cs="Arial" w:hint="eastAsia"/>
        </w:rPr>
        <w:t>防范电信诈骗和非法集资诈骗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”</w:t>
      </w:r>
    </w:p>
    <w:p>
      <w:pPr>
        <w:spacing w:lineRule="exact" w:line="520" w:after="0"/>
        <w:ind w:left="602" w:firstLine="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>二、活动时间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2021年3月1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6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日-2021年4月3日</w:t>
      </w:r>
    </w:p>
    <w:p>
      <w:pPr>
        <w:pStyle w:val="PO26"/>
        <w:numPr>
          <w:ilvl w:val="0"/>
          <w:numId w:val="4"/>
        </w:numPr>
        <w:spacing w:lineRule="exact" w:line="520" w:after="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>活动地点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福州职业技术学院综合行政楼、教学楼</w:t>
      </w:r>
    </w:p>
    <w:p>
      <w:pPr>
        <w:pStyle w:val="PO26"/>
        <w:numPr>
          <w:ilvl w:val="0"/>
          <w:numId w:val="4"/>
        </w:numPr>
        <w:spacing w:lineRule="exact" w:line="520" w:after="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>活动前期准备</w:t>
      </w:r>
    </w:p>
    <w:p>
      <w:pPr>
        <w:spacing w:lineRule="exact" w:line="520" w:after="0"/>
        <w:ind w:firstLine="600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搜集不良网贷、传销陷阱、防范电信诈骗和非法集资诈骗等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相关知识、图片</w:t>
      </w: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>，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制作不良网贷、传销陷阱主题展板</w:t>
      </w:r>
    </w:p>
    <w:p>
      <w:pPr>
        <w:numPr>
          <w:ilvl w:val="0"/>
          <w:numId w:val="4"/>
        </w:numPr>
        <w:spacing w:lineRule="exact" w:line="520" w:after="0"/>
        <w:ind w:left="0" w:firstLine="602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>活动内容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1、在综合楼、教学楼附近开展防诈骗、防传销宣传图片展；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2、制作防传销，防校园贷、防诈骗的宣传拱门；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3、各二级学院通过微信，qq群，网课等平台向学生推送防校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园贷、防传销、防诈骗安全知识；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4、在安全教研室qq群里转发防校园贷，防传销、防范电信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诈骗的宣传图片，教育视频。</w:t>
      </w:r>
    </w:p>
    <w:p>
      <w:pPr>
        <w:spacing w:lineRule="exact" w:line="520" w:after="0"/>
        <w:ind w:firstLine="60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通过这四种活动内容，让同学们对防范不良网贷，防范传销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陷阱知识有了更深的印象，在日常的生活中也不忘保障自我的人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身安全，进一步强化我院安全教育工作，增加全院师生的防范意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识，减少不法侵害发生，进一步维护广大青少年的切身利益，为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广大师生们创建一个安全的校园。</w:t>
      </w:r>
    </w:p>
    <w:p>
      <w:pPr>
        <w:spacing w:lineRule="exact" w:line="520" w:after="0"/>
        <w:ind w:firstLine="602"/>
        <w:rPr>
          <w:b w:val="1"/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b w:val="1"/>
          <w:color w:val="000000" w:themeColor="text1"/>
          <w:sz w:val="30"/>
          <w:szCs w:val="30"/>
          <w:rFonts w:ascii="仿宋" w:eastAsia="仿宋" w:hAnsi="仿宋" w:cstheme="minorEastAsia" w:hint="eastAsia"/>
        </w:rPr>
        <w:t>六、活动要求</w:t>
      </w:r>
    </w:p>
    <w:p>
      <w:pPr>
        <w:spacing w:lineRule="exact" w:line="520" w:after="0"/>
        <w:ind w:firstLine="45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（一)加强领导，明确责任。各二级学院级要按照本方案的要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求，切实加强安全宣传教育。有计划、有组织地开防范不良网贷，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防范传销陷阱教育活动，商学院全体教师密切配合，努力将活动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落到实处。</w:t>
      </w:r>
    </w:p>
    <w:p>
      <w:pPr>
        <w:spacing w:lineRule="exact" w:line="520" w:after="0"/>
        <w:ind w:firstLine="450"/>
        <w:rPr>
          <w:color w:val="333333"/>
          <w:sz w:val="30"/>
          <w:szCs w:val="30"/>
          <w:rFonts w:ascii="仿宋" w:eastAsia="仿宋" w:hAnsi="仿宋" w:cs="微软雅黑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（二)精心组织，确保效果。通过宣传教育，增强防范意识，将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我院安全宣传教育工作真正落到实处，共建安全校园、和谐校园。</w:t>
      </w:r>
    </w:p>
    <w:p>
      <w:pPr>
        <w:spacing w:lineRule="exact" w:line="520" w:after="0"/>
        <w:ind w:firstLine="45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（三）总结经验，建立长效机制。汇总各二级学院情况认真总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结，收取经验和取得的成效。</w:t>
      </w:r>
    </w:p>
    <w:p>
      <w:pPr>
        <w:jc w:val="center"/>
        <w:spacing w:lineRule="exact" w:line="520" w:after="0"/>
        <w:ind w:right="740" w:firstLine="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</w:p>
    <w:p>
      <w:pPr>
        <w:jc w:val="center"/>
        <w:spacing w:lineRule="exact" w:line="520" w:after="0"/>
        <w:ind w:right="740" w:firstLine="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</w:p>
    <w:p>
      <w:pPr>
        <w:jc w:val="center"/>
        <w:spacing w:lineRule="exact" w:line="520" w:after="0"/>
        <w:ind w:right="740" w:firstLine="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</w:p>
    <w:p>
      <w:pPr>
        <w:jc w:val="center"/>
        <w:spacing w:lineRule="exact" w:line="520" w:after="0"/>
        <w:ind w:right="740" w:firstLine="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</w:p>
    <w:p>
      <w:pPr>
        <w:jc w:val="center"/>
        <w:spacing w:lineRule="exact" w:line="520" w:after="0"/>
        <w:ind w:right="560" w:firstLine="0"/>
        <w:rPr>
          <w:color w:val="000000" w:themeColor="text1"/>
          <w:sz w:val="30"/>
          <w:szCs w:val="30"/>
          <w:rFonts w:ascii="仿宋" w:eastAsia="仿宋" w:hAnsi="仿宋" w:cstheme="minorEastAsia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 xml:space="preserve">                             福州职业技术学院保卫处</w:t>
      </w:r>
    </w:p>
    <w:p>
      <w:pPr>
        <w:jc w:val="center"/>
        <w:spacing w:lineRule="exact" w:line="520" w:after="0"/>
        <w:ind w:right="560" w:firstLine="0"/>
        <w:rPr>
          <w:sz w:val="30"/>
          <w:szCs w:val="30"/>
          <w:rFonts w:ascii="仿宋" w:eastAsia="仿宋" w:hAnsi="仿宋"/>
        </w:rPr>
        <w:outlineLvl w:val="1"/>
      </w:pP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 xml:space="preserve">                              2021年3月1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5</w:t>
      </w:r>
      <w:r>
        <w:rPr>
          <w:color w:val="000000" w:themeColor="text1"/>
          <w:sz w:val="30"/>
          <w:szCs w:val="30"/>
          <w:rFonts w:ascii="仿宋" w:eastAsia="仿宋" w:hAnsi="仿宋" w:cstheme="minorEastAsia" w:hint="eastAsia"/>
        </w:rPr>
        <w:t>日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2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2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2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2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chineseCounting"/>
      <w:start w:val="1"/>
      <w:suff w:val="nothing"/>
      <w:rPr>
        <w:rFonts w:hint="eastAsia"/>
      </w:rPr>
      <w:lvlText w:val="%1、"/>
    </w:lvl>
    <w:lvl w:ilvl="1">
      <w:lvlJc w:val="left"/>
      <w:numFmt w:val="chineseCounting"/>
      <w:start w:val="1"/>
      <w:suff w:val="nothing"/>
      <w:rPr>
        <w:rFonts w:hint="eastAsia"/>
      </w:rPr>
      <w:lvlText w:val="%1、"/>
    </w:lvl>
    <w:lvl w:ilvl="2">
      <w:lvlJc w:val="left"/>
      <w:numFmt w:val="chineseCounting"/>
      <w:start w:val="1"/>
      <w:suff w:val="nothing"/>
      <w:rPr>
        <w:rFonts w:hint="eastAsia"/>
      </w:rPr>
      <w:lvlText w:val="%1、"/>
    </w:lvl>
    <w:lvl w:ilvl="3">
      <w:lvlJc w:val="left"/>
      <w:numFmt w:val="chineseCounting"/>
      <w:start w:val="1"/>
      <w:suff w:val="nothing"/>
      <w:rPr>
        <w:rFonts w:hint="eastAsia"/>
      </w:rPr>
      <w:lvlText w:val="%1、"/>
    </w:lvl>
    <w:lvl w:ilvl="4">
      <w:lvlJc w:val="left"/>
      <w:numFmt w:val="chineseCounting"/>
      <w:start w:val="1"/>
      <w:suff w:val="nothing"/>
      <w:rPr>
        <w:rFonts w:hint="eastAsia"/>
      </w:rPr>
      <w:lvlText w:val="%1、"/>
    </w:lvl>
    <w:lvl w:ilvl="5">
      <w:lvlJc w:val="left"/>
      <w:numFmt w:val="chineseCounting"/>
      <w:start w:val="1"/>
      <w:suff w:val="nothing"/>
      <w:rPr>
        <w:rFonts w:hint="eastAsia"/>
      </w:rPr>
      <w:lvlText w:val="%1、"/>
    </w:lvl>
    <w:lvl w:ilvl="6">
      <w:lvlJc w:val="left"/>
      <w:numFmt w:val="chineseCounting"/>
      <w:start w:val="1"/>
      <w:suff w:val="nothing"/>
      <w:rPr>
        <w:rFonts w:hint="eastAsia"/>
      </w:rPr>
      <w:lvlText w:val="%1、"/>
    </w:lvl>
    <w:lvl w:ilvl="7">
      <w:lvlJc w:val="left"/>
      <w:numFmt w:val="chineseCounting"/>
      <w:start w:val="1"/>
      <w:suff w:val="nothing"/>
      <w:rPr>
        <w:rFonts w:hint="eastAsia"/>
      </w:rPr>
      <w:lvlText w:val="%1、"/>
    </w:lvl>
    <w:lvl w:ilvl="8">
      <w:lvlJc w:val="left"/>
      <w:numFmt w:val="chineseCounting"/>
      <w:start w:val="1"/>
      <w:suff w:val="nothing"/>
      <w:rPr>
        <w:rFonts w:hint="eastAsia"/>
      </w:rPr>
      <w:lvlText w:val="%1、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1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2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3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4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5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6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7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  <w:lvl w:ilvl="8">
      <w:lvlJc w:val="left"/>
      <w:numFmt w:val="decimal"/>
      <w:start w:val="1"/>
      <w:suff w:val="nothing"/>
      <w:rPr>
        <w:rFonts w:asciiTheme="minorEastAsia" w:eastAsiaTheme="minorEastAsia" w:hAnsiTheme="minorEastAsia" w:cstheme="minorEastAsia"/>
      </w:rPr>
      <w:lvlText w:val="%1、"/>
    </w:lvl>
  </w:abstractNum>
  <w:abstractNum w:abstractNumId="2">
    <w:multiLevelType w:val="hybridMultilevel"/>
    <w:nsid w:val="2F000002"/>
    <w:tmpl w:val="1F000C5F"/>
    <w:lvl w:ilvl="0">
      <w:lvlJc w:val="left"/>
      <w:numFmt w:val="japaneseCounting"/>
      <w:start w:val="3"/>
      <w:suff w:val="tab"/>
      <w:pPr>
        <w:ind w:left="1322" w:hanging="720"/>
        <w:rPr/>
      </w:pPr>
      <w:rPr>
        <w:rFonts w:hint="default"/>
      </w:rPr>
      <w:lvlText w:val="%1、"/>
    </w:lvl>
    <w:lvl w:ilvl="1">
      <w:lvlJc w:val="left"/>
      <w:numFmt w:val="lowerLetter"/>
      <w:start w:val="1"/>
      <w:suff w:val="tab"/>
      <w:pPr>
        <w:ind w:left="1442" w:hanging="420"/>
        <w:rPr/>
      </w:pPr>
      <w:rPr/>
      <w:lvlText w:val="%2)"/>
    </w:lvl>
    <w:lvl w:ilvl="2">
      <w:lvlJc w:val="right"/>
      <w:numFmt w:val="lowerRoman"/>
      <w:start w:val="1"/>
      <w:suff w:val="tab"/>
      <w:pPr>
        <w:ind w:left="1862" w:hanging="420"/>
        <w:rPr/>
      </w:pPr>
      <w:rPr/>
      <w:lvlText w:val="%3."/>
    </w:lvl>
    <w:lvl w:ilvl="3">
      <w:lvlJc w:val="left"/>
      <w:numFmt w:val="decimal"/>
      <w:start w:val="1"/>
      <w:suff w:val="tab"/>
      <w:pPr>
        <w:ind w:left="2282" w:hanging="420"/>
        <w:rPr/>
      </w:pPr>
      <w:rPr/>
      <w:lvlText w:val="%4."/>
    </w:lvl>
    <w:lvl w:ilvl="4">
      <w:lvlJc w:val="left"/>
      <w:numFmt w:val="lowerLetter"/>
      <w:start w:val="1"/>
      <w:suff w:val="tab"/>
      <w:pPr>
        <w:ind w:left="2702" w:hanging="420"/>
        <w:rPr/>
      </w:pPr>
      <w:rPr/>
      <w:lvlText w:val="%5)"/>
    </w:lvl>
    <w:lvl w:ilvl="5">
      <w:lvlJc w:val="right"/>
      <w:numFmt w:val="lowerRoman"/>
      <w:start w:val="1"/>
      <w:suff w:val="tab"/>
      <w:pPr>
        <w:ind w:left="3122" w:hanging="420"/>
        <w:rPr/>
      </w:pPr>
      <w:rPr/>
      <w:lvlText w:val="%6."/>
    </w:lvl>
    <w:lvl w:ilvl="6">
      <w:lvlJc w:val="left"/>
      <w:numFmt w:val="decimal"/>
      <w:start w:val="1"/>
      <w:suff w:val="tab"/>
      <w:pPr>
        <w:ind w:left="3542" w:hanging="420"/>
        <w:rPr/>
      </w:pPr>
      <w:rPr/>
      <w:lvlText w:val="%7."/>
    </w:lvl>
    <w:lvl w:ilvl="7">
      <w:lvlJc w:val="left"/>
      <w:numFmt w:val="lowerLetter"/>
      <w:start w:val="1"/>
      <w:suff w:val="tab"/>
      <w:pPr>
        <w:ind w:left="3962" w:hanging="420"/>
        <w:rPr/>
      </w:pPr>
      <w:rPr/>
      <w:lvlText w:val="%8)"/>
    </w:lvl>
    <w:lvl w:ilvl="8">
      <w:lvlJc w:val="right"/>
      <w:numFmt w:val="lowerRoman"/>
      <w:start w:val="1"/>
      <w:suff w:val="tab"/>
      <w:pPr>
        <w:ind w:left="4382" w:hanging="420"/>
        <w:rPr/>
      </w:pPr>
      <w:rPr/>
      <w:lvlText w:val="%9."/>
    </w:lvl>
  </w:abstractNum>
  <w:abstractNum w:abstractNumId="3">
    <w:multiLevelType w:val="hybridMultilevel"/>
    <w:nsid w:val="2F000003"/>
    <w:tmpl w:val="1F0033C2"/>
    <w:lvl w:ilvl="0">
      <w:lvlJc w:val="left"/>
      <w:numFmt w:val="chineseCounting"/>
      <w:start w:val="1"/>
      <w:suff w:val="nothing"/>
      <w:rPr>
        <w:rFonts w:hint="eastAsia"/>
      </w:rPr>
      <w:lvlText w:val="（%1）"/>
    </w:lvl>
    <w:lvl w:ilvl="1">
      <w:lvlJc w:val="left"/>
      <w:numFmt w:val="chineseCounting"/>
      <w:start w:val="1"/>
      <w:suff w:val="nothing"/>
      <w:rPr>
        <w:rFonts w:hint="eastAsia"/>
      </w:rPr>
      <w:lvlText w:val="（%1）"/>
    </w:lvl>
    <w:lvl w:ilvl="2">
      <w:lvlJc w:val="left"/>
      <w:numFmt w:val="chineseCounting"/>
      <w:start w:val="1"/>
      <w:suff w:val="nothing"/>
      <w:rPr>
        <w:rFonts w:hint="eastAsia"/>
      </w:rPr>
      <w:lvlText w:val="（%1）"/>
    </w:lvl>
    <w:lvl w:ilvl="3">
      <w:lvlJc w:val="left"/>
      <w:numFmt w:val="chineseCounting"/>
      <w:start w:val="1"/>
      <w:suff w:val="nothing"/>
      <w:rPr>
        <w:rFonts w:hint="eastAsia"/>
      </w:rPr>
      <w:lvlText w:val="（%1）"/>
    </w:lvl>
    <w:lvl w:ilvl="4">
      <w:lvlJc w:val="left"/>
      <w:numFmt w:val="chineseCounting"/>
      <w:start w:val="1"/>
      <w:suff w:val="nothing"/>
      <w:rPr>
        <w:rFonts w:hint="eastAsia"/>
      </w:rPr>
      <w:lvlText w:val="（%1）"/>
    </w:lvl>
    <w:lvl w:ilvl="5">
      <w:lvlJc w:val="left"/>
      <w:numFmt w:val="chineseCounting"/>
      <w:start w:val="1"/>
      <w:suff w:val="nothing"/>
      <w:rPr>
        <w:rFonts w:hint="eastAsia"/>
      </w:rPr>
      <w:lvlText w:val="（%1）"/>
    </w:lvl>
    <w:lvl w:ilvl="6">
      <w:lvlJc w:val="left"/>
      <w:numFmt w:val="chineseCounting"/>
      <w:start w:val="1"/>
      <w:suff w:val="nothing"/>
      <w:rPr>
        <w:rFonts w:hint="eastAsia"/>
      </w:rPr>
      <w:lvlText w:val="（%1）"/>
    </w:lvl>
    <w:lvl w:ilvl="7">
      <w:lvlJc w:val="left"/>
      <w:numFmt w:val="chineseCounting"/>
      <w:start w:val="1"/>
      <w:suff w:val="nothing"/>
      <w:rPr>
        <w:rFonts w:hint="eastAsia"/>
      </w:rPr>
      <w:lvlText w:val="（%1）"/>
    </w:lvl>
    <w:lvl w:ilvl="8">
      <w:lvlJc w:val="left"/>
      <w:numFmt w:val="chineseCounting"/>
      <w:start w:val="1"/>
      <w:suff w:val="nothing"/>
      <w:rPr>
        <w:rFonts w:hint="eastAsia"/>
      </w:rPr>
      <w:lvlText w:val="（%1）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spacing w:after="200"/>
      <w:rPr/>
      <w:snapToGrid w:val="off"/>
    </w:pPr>
    <w:rPr>
      <w:sz w:val="22"/>
      <w:szCs w:val="22"/>
      <w:rFonts w:ascii="Tahoma" w:eastAsia="微软雅黑" w:hAnsi="Tahoma" w:cstheme="minorBidi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uiPriority w:val="26"/>
    <w:unhideWhenUsed/>
    <w:pPr>
      <w:ind w:firstLine="420"/>
      <w:rPr/>
    </w:pPr>
    <w:rPr/>
  </w:style>
  <w:style w:styleId="PO151" w:type="paragraph">
    <w:name w:val="header"/>
    <w:basedOn w:val="PO1"/>
    <w:link w:val="PO152"/>
    <w:uiPriority w:val="151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</w:pPr>
    <w:rPr>
      <w:sz w:val="18"/>
      <w:szCs w:val="18"/>
    </w:rPr>
  </w:style>
  <w:style w:customStyle="1" w:styleId="PO152" w:type="character">
    <w:name w:val="页眉 Char"/>
    <w:basedOn w:val="PO2"/>
    <w:link w:val="PO151"/>
    <w:uiPriority w:val="152"/>
    <w:rPr>
      <w:sz w:val="18"/>
      <w:szCs w:val="18"/>
      <w:rFonts w:ascii="Tahoma" w:eastAsia="微软雅黑" w:hAnsi="Tahoma" w:cstheme="minorBidi"/>
    </w:rPr>
  </w:style>
  <w:style w:styleId="PO153" w:type="paragraph">
    <w:name w:val="footer"/>
    <w:basedOn w:val="PO1"/>
    <w:link w:val="PO154"/>
    <w:uiPriority w:val="153"/>
    <w:pPr>
      <w:tabs>
        <w:tab w:val="center" w:pos="4153"/>
        <w:tab w:val="right" w:pos="8306"/>
      </w:tabs>
      <w:rPr/>
    </w:pPr>
    <w:rPr>
      <w:sz w:val="18"/>
      <w:szCs w:val="18"/>
    </w:rPr>
  </w:style>
  <w:style w:customStyle="1" w:styleId="PO154" w:type="character">
    <w:name w:val="页脚 Char"/>
    <w:basedOn w:val="PO2"/>
    <w:link w:val="PO153"/>
    <w:uiPriority w:val="154"/>
    <w:rPr>
      <w:sz w:val="18"/>
      <w:szCs w:val="18"/>
      <w:rFonts w:ascii="Tahoma" w:eastAsia="微软雅黑" w:hAnsi="Tahom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微软中国</Company>
  <DocSecurity>0</DocSecurity>
  <HyperlinksChanged>false</HyperlinksChanged>
  <Lines>6</Lines>
  <LinksUpToDate>false</LinksUpToDate>
  <Pages>2</Pages>
  <Paragraphs>1</Paragraphs>
  <Words>136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大众女神</dc:creator>
  <cp:lastModifiedBy/>
  <dcterms:modified xsi:type="dcterms:W3CDTF">2020-05-27T02:34:00Z</dcterms:modified>
</cp:coreProperties>
</file>