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A0C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仿宋" w:hAnsi="仿宋" w:eastAsia="仿宋" w:cs="仿宋"/>
          <w:b/>
          <w:bCs/>
          <w:color w:val="auto"/>
          <w:sz w:val="39"/>
          <w:szCs w:val="39"/>
        </w:rPr>
      </w:pPr>
      <w:r>
        <w:rPr>
          <w:rFonts w:hint="eastAsia" w:ascii="仿宋" w:hAnsi="仿宋" w:eastAsia="仿宋" w:cs="仿宋"/>
          <w:b/>
          <w:bCs/>
          <w:i w:val="0"/>
          <w:iCs w:val="0"/>
          <w:caps w:val="0"/>
          <w:color w:val="auto"/>
          <w:spacing w:val="0"/>
          <w:sz w:val="30"/>
          <w:szCs w:val="30"/>
          <w:shd w:val="clear" w:fill="FFFFFF"/>
          <w:vertAlign w:val="baseline"/>
          <w:lang w:eastAsia="zh-CN"/>
        </w:rPr>
        <w:t>实训楼C-2层整体规划建设及实训室配套装修项目</w:t>
      </w:r>
      <w:r>
        <w:rPr>
          <w:rFonts w:hint="eastAsia" w:ascii="仿宋" w:hAnsi="仿宋" w:eastAsia="仿宋" w:cs="仿宋"/>
          <w:b/>
          <w:bCs/>
          <w:i w:val="0"/>
          <w:iCs w:val="0"/>
          <w:caps w:val="0"/>
          <w:color w:val="auto"/>
          <w:spacing w:val="0"/>
          <w:sz w:val="30"/>
          <w:szCs w:val="30"/>
          <w:shd w:val="clear" w:fill="FFFFFF"/>
          <w:vertAlign w:val="baseline"/>
        </w:rPr>
        <w:t>成交公告</w:t>
      </w:r>
    </w:p>
    <w:p w14:paraId="553F4CE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Style w:val="11"/>
          <w:rFonts w:hint="eastAsia" w:ascii="仿宋" w:hAnsi="仿宋" w:eastAsia="仿宋" w:cs="仿宋"/>
          <w:b/>
          <w:bCs/>
          <w:i w:val="0"/>
          <w:iCs w:val="0"/>
          <w:caps w:val="0"/>
          <w:color w:val="auto"/>
          <w:spacing w:val="0"/>
          <w:sz w:val="24"/>
          <w:szCs w:val="24"/>
          <w:shd w:val="clear" w:fill="FFFFFF"/>
          <w:vertAlign w:val="baseline"/>
        </w:rPr>
      </w:pPr>
    </w:p>
    <w:p w14:paraId="625E472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default" w:ascii="仿宋" w:hAnsi="仿宋" w:eastAsia="仿宋" w:cs="仿宋"/>
          <w:color w:val="auto"/>
          <w:sz w:val="24"/>
          <w:szCs w:val="24"/>
          <w:lang w:val="en-US"/>
        </w:rPr>
      </w:pPr>
      <w:r>
        <w:rPr>
          <w:rStyle w:val="11"/>
          <w:rFonts w:hint="eastAsia" w:ascii="仿宋" w:hAnsi="仿宋" w:eastAsia="仿宋" w:cs="仿宋"/>
          <w:b/>
          <w:bCs/>
          <w:i w:val="0"/>
          <w:iCs w:val="0"/>
          <w:caps w:val="0"/>
          <w:color w:val="auto"/>
          <w:spacing w:val="0"/>
          <w:sz w:val="24"/>
          <w:szCs w:val="24"/>
          <w:shd w:val="clear" w:fill="FFFFFF"/>
          <w:vertAlign w:val="baseline"/>
        </w:rPr>
        <w:t>一、项目编号：</w:t>
      </w:r>
      <w:r>
        <w:rPr>
          <w:rStyle w:val="11"/>
          <w:rFonts w:hint="eastAsia" w:ascii="仿宋" w:hAnsi="仿宋" w:eastAsia="仿宋" w:cs="仿宋"/>
          <w:b/>
          <w:bCs/>
          <w:i w:val="0"/>
          <w:iCs w:val="0"/>
          <w:caps w:val="0"/>
          <w:color w:val="auto"/>
          <w:spacing w:val="0"/>
          <w:sz w:val="24"/>
          <w:szCs w:val="24"/>
          <w:shd w:val="clear" w:fill="FFFFFF"/>
          <w:vertAlign w:val="baseline"/>
          <w:lang w:eastAsia="zh-CN"/>
        </w:rPr>
        <w:t>FJHSXM-TP-2026021</w:t>
      </w:r>
    </w:p>
    <w:p w14:paraId="358F73E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lang w:eastAsia="zh-CN"/>
        </w:rPr>
      </w:pPr>
      <w:r>
        <w:rPr>
          <w:rStyle w:val="11"/>
          <w:rFonts w:hint="eastAsia" w:ascii="仿宋" w:hAnsi="仿宋" w:eastAsia="仿宋" w:cs="仿宋"/>
          <w:b/>
          <w:bCs/>
          <w:i w:val="0"/>
          <w:iCs w:val="0"/>
          <w:caps w:val="0"/>
          <w:color w:val="auto"/>
          <w:spacing w:val="0"/>
          <w:sz w:val="24"/>
          <w:szCs w:val="24"/>
          <w:shd w:val="clear" w:fill="FFFFFF"/>
          <w:vertAlign w:val="baseline"/>
        </w:rPr>
        <w:t>二、项目名称：</w:t>
      </w:r>
      <w:r>
        <w:rPr>
          <w:rStyle w:val="11"/>
          <w:rFonts w:hint="eastAsia" w:ascii="仿宋" w:hAnsi="仿宋" w:eastAsia="仿宋" w:cs="仿宋"/>
          <w:b/>
          <w:bCs/>
          <w:i w:val="0"/>
          <w:iCs w:val="0"/>
          <w:caps w:val="0"/>
          <w:color w:val="auto"/>
          <w:spacing w:val="0"/>
          <w:sz w:val="24"/>
          <w:szCs w:val="24"/>
          <w:shd w:val="clear" w:fill="FFFFFF"/>
          <w:vertAlign w:val="baseline"/>
          <w:lang w:eastAsia="zh-CN"/>
        </w:rPr>
        <w:t>实训楼C-2层整体规划建设及实训室配套装修项目</w:t>
      </w:r>
    </w:p>
    <w:p w14:paraId="1FA8696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Style w:val="11"/>
          <w:rFonts w:hint="eastAsia" w:ascii="仿宋" w:hAnsi="仿宋" w:eastAsia="仿宋" w:cs="仿宋"/>
          <w:b/>
          <w:bCs/>
          <w:i w:val="0"/>
          <w:iCs w:val="0"/>
          <w:caps w:val="0"/>
          <w:color w:val="auto"/>
          <w:spacing w:val="0"/>
          <w:sz w:val="24"/>
          <w:szCs w:val="24"/>
          <w:shd w:val="clear" w:fill="FFFFFF"/>
          <w:vertAlign w:val="baseline"/>
        </w:rPr>
        <w:t>三、中标（成交）信息</w:t>
      </w:r>
    </w:p>
    <w:p w14:paraId="06DFA2C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Fonts w:hint="eastAsia" w:ascii="仿宋" w:hAnsi="仿宋" w:eastAsia="仿宋" w:cs="仿宋"/>
          <w:i w:val="0"/>
          <w:iCs w:val="0"/>
          <w:caps w:val="0"/>
          <w:color w:val="auto"/>
          <w:spacing w:val="0"/>
          <w:sz w:val="24"/>
          <w:szCs w:val="24"/>
          <w:shd w:val="clear" w:fill="FFFFFF"/>
          <w:vertAlign w:val="baseline"/>
        </w:rPr>
        <w:t>供应商名称：</w:t>
      </w:r>
      <w:r>
        <w:rPr>
          <w:rFonts w:hint="eastAsia" w:ascii="仿宋" w:hAnsi="仿宋" w:eastAsia="仿宋" w:cs="仿宋"/>
          <w:i w:val="0"/>
          <w:iCs w:val="0"/>
          <w:caps w:val="0"/>
          <w:color w:val="auto"/>
          <w:spacing w:val="0"/>
          <w:sz w:val="24"/>
          <w:szCs w:val="24"/>
          <w:shd w:val="clear" w:fill="FFFFFF"/>
          <w:vertAlign w:val="baseline"/>
          <w:lang w:val="en-US" w:eastAsia="zh-CN"/>
        </w:rPr>
        <w:t>福建盛世鼎鑫工程管理有限公司</w:t>
      </w:r>
    </w:p>
    <w:p w14:paraId="7FD28DC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lang w:eastAsia="zh-CN"/>
        </w:rPr>
      </w:pPr>
      <w:r>
        <w:rPr>
          <w:rFonts w:hint="eastAsia" w:ascii="仿宋" w:hAnsi="仿宋" w:eastAsia="仿宋" w:cs="仿宋"/>
          <w:i w:val="0"/>
          <w:iCs w:val="0"/>
          <w:caps w:val="0"/>
          <w:color w:val="auto"/>
          <w:spacing w:val="0"/>
          <w:sz w:val="24"/>
          <w:szCs w:val="24"/>
          <w:shd w:val="clear" w:fill="FFFFFF"/>
          <w:vertAlign w:val="baseline"/>
        </w:rPr>
        <w:t>供应商地址：</w:t>
      </w:r>
      <w:r>
        <w:rPr>
          <w:rFonts w:hint="eastAsia" w:ascii="仿宋" w:hAnsi="仿宋" w:eastAsia="仿宋" w:cs="仿宋"/>
          <w:i w:val="0"/>
          <w:iCs w:val="0"/>
          <w:caps w:val="0"/>
          <w:color w:val="auto"/>
          <w:spacing w:val="0"/>
          <w:sz w:val="24"/>
          <w:szCs w:val="24"/>
          <w:shd w:val="clear" w:fill="FFFFFF"/>
          <w:vertAlign w:val="baseline"/>
          <w:lang w:eastAsia="zh-CN"/>
        </w:rPr>
        <w:t>福建省连江县凤城镇文山北路8号龙华花园二区32座209单元</w:t>
      </w:r>
    </w:p>
    <w:p w14:paraId="300C2A3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lang w:val="en-US" w:eastAsia="zh-CN"/>
        </w:rPr>
      </w:pPr>
      <w:r>
        <w:rPr>
          <w:rFonts w:hint="eastAsia" w:ascii="仿宋" w:hAnsi="仿宋" w:eastAsia="仿宋" w:cs="仿宋"/>
          <w:i w:val="0"/>
          <w:iCs w:val="0"/>
          <w:caps w:val="0"/>
          <w:color w:val="auto"/>
          <w:spacing w:val="0"/>
          <w:sz w:val="24"/>
          <w:szCs w:val="24"/>
          <w:shd w:val="clear" w:fill="FFFFFF"/>
          <w:vertAlign w:val="baseline"/>
        </w:rPr>
        <w:t>中标（成交）金额：</w:t>
      </w:r>
      <w:r>
        <w:rPr>
          <w:rFonts w:hint="eastAsia" w:ascii="仿宋" w:hAnsi="仿宋" w:eastAsia="仿宋" w:cs="仿宋"/>
          <w:i w:val="0"/>
          <w:iCs w:val="0"/>
          <w:color w:val="auto"/>
          <w:kern w:val="0"/>
          <w:sz w:val="24"/>
          <w:szCs w:val="24"/>
          <w:u w:val="none"/>
          <w:lang w:val="en-US" w:eastAsia="zh-CN" w:bidi="ar"/>
        </w:rPr>
        <w:t>27.479114</w:t>
      </w:r>
      <w:r>
        <w:rPr>
          <w:rFonts w:hint="eastAsia" w:ascii="仿宋" w:hAnsi="仿宋" w:eastAsia="仿宋" w:cs="仿宋"/>
          <w:i w:val="0"/>
          <w:iCs w:val="0"/>
          <w:caps w:val="0"/>
          <w:color w:val="auto"/>
          <w:spacing w:val="0"/>
          <w:sz w:val="24"/>
          <w:szCs w:val="24"/>
          <w:shd w:val="clear" w:fill="FFFFFF"/>
          <w:vertAlign w:val="baseline"/>
        </w:rPr>
        <w:t>（万元）</w:t>
      </w:r>
    </w:p>
    <w:p w14:paraId="5DB18CE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Style w:val="11"/>
          <w:rFonts w:hint="eastAsia" w:ascii="仿宋" w:hAnsi="仿宋" w:eastAsia="仿宋" w:cs="仿宋"/>
          <w:b/>
          <w:bCs/>
          <w:i w:val="0"/>
          <w:iCs w:val="0"/>
          <w:caps w:val="0"/>
          <w:color w:val="auto"/>
          <w:spacing w:val="0"/>
          <w:sz w:val="24"/>
          <w:szCs w:val="24"/>
          <w:shd w:val="clear" w:fill="FFFFFF"/>
          <w:vertAlign w:val="baseline"/>
        </w:rPr>
      </w:pPr>
      <w:r>
        <w:rPr>
          <w:rStyle w:val="11"/>
          <w:rFonts w:hint="eastAsia" w:ascii="仿宋" w:hAnsi="仿宋" w:eastAsia="仿宋" w:cs="仿宋"/>
          <w:b/>
          <w:bCs/>
          <w:i w:val="0"/>
          <w:iCs w:val="0"/>
          <w:caps w:val="0"/>
          <w:color w:val="auto"/>
          <w:spacing w:val="0"/>
          <w:sz w:val="24"/>
          <w:szCs w:val="24"/>
          <w:shd w:val="clear" w:fill="FFFFFF"/>
          <w:vertAlign w:val="baseline"/>
        </w:rPr>
        <w:t>四、主要标的信息</w:t>
      </w:r>
    </w:p>
    <w:tbl>
      <w:tblPr>
        <w:tblStyle w:val="8"/>
        <w:tblW w:w="0" w:type="auto"/>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607"/>
        <w:gridCol w:w="1776"/>
        <w:gridCol w:w="2138"/>
        <w:gridCol w:w="1331"/>
        <w:gridCol w:w="1195"/>
        <w:gridCol w:w="1324"/>
        <w:gridCol w:w="1395"/>
      </w:tblGrid>
      <w:tr w14:paraId="26B24093">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trHeight w:val="574" w:hRule="atLeast"/>
          <w:tblHeader/>
          <w:jc w:val="center"/>
        </w:trPr>
        <w:tc>
          <w:tcPr>
            <w:tcW w:w="607" w:type="dxa"/>
            <w:tcBorders>
              <w:top w:val="outset" w:color="auto" w:sz="6" w:space="0"/>
              <w:left w:val="outset" w:color="auto" w:sz="8" w:space="0"/>
              <w:bottom w:val="outset" w:color="auto" w:sz="8" w:space="0"/>
              <w:right w:val="outset" w:color="auto" w:sz="8" w:space="0"/>
            </w:tcBorders>
            <w:shd w:val="clear" w:color="auto" w:fill="auto"/>
            <w:vAlign w:val="center"/>
          </w:tcPr>
          <w:p w14:paraId="33EE9BB4">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b/>
                <w:color w:val="auto"/>
                <w:sz w:val="24"/>
              </w:rPr>
            </w:pPr>
            <w:r>
              <w:rPr>
                <w:rFonts w:hint="eastAsia" w:ascii="仿宋" w:hAnsi="仿宋" w:eastAsia="仿宋" w:cs="仿宋"/>
                <w:b/>
                <w:color w:val="auto"/>
                <w:kern w:val="0"/>
                <w:sz w:val="24"/>
                <w:szCs w:val="24"/>
                <w:vertAlign w:val="baseline"/>
                <w:lang w:val="en-US" w:eastAsia="zh-CN" w:bidi="ar"/>
              </w:rPr>
              <w:t>序号</w:t>
            </w:r>
          </w:p>
        </w:tc>
        <w:tc>
          <w:tcPr>
            <w:tcW w:w="1776" w:type="dxa"/>
            <w:tcBorders>
              <w:top w:val="outset" w:color="auto" w:sz="6" w:space="0"/>
              <w:left w:val="outset" w:color="auto" w:sz="8" w:space="0"/>
              <w:bottom w:val="outset" w:color="auto" w:sz="8" w:space="0"/>
              <w:right w:val="outset" w:color="auto" w:sz="8" w:space="0"/>
            </w:tcBorders>
            <w:shd w:val="clear" w:color="auto" w:fill="auto"/>
            <w:vAlign w:val="center"/>
          </w:tcPr>
          <w:p w14:paraId="6AFBB881">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b/>
                <w:color w:val="auto"/>
                <w:sz w:val="24"/>
              </w:rPr>
            </w:pPr>
            <w:r>
              <w:rPr>
                <w:rFonts w:hint="eastAsia" w:ascii="仿宋" w:hAnsi="仿宋" w:eastAsia="仿宋" w:cs="仿宋"/>
                <w:b/>
                <w:color w:val="auto"/>
                <w:sz w:val="24"/>
              </w:rPr>
              <w:t>采购标的</w:t>
            </w:r>
          </w:p>
        </w:tc>
        <w:tc>
          <w:tcPr>
            <w:tcW w:w="2138" w:type="dxa"/>
            <w:tcBorders>
              <w:top w:val="outset" w:color="auto" w:sz="6" w:space="0"/>
              <w:left w:val="outset" w:color="auto" w:sz="8" w:space="0"/>
              <w:bottom w:val="outset" w:color="auto" w:sz="8" w:space="0"/>
              <w:right w:val="outset" w:color="auto" w:sz="8" w:space="0"/>
            </w:tcBorders>
            <w:shd w:val="clear" w:color="auto" w:fill="auto"/>
            <w:vAlign w:val="center"/>
          </w:tcPr>
          <w:p w14:paraId="78D506F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b/>
                <w:color w:val="auto"/>
                <w:sz w:val="24"/>
              </w:rPr>
            </w:pPr>
            <w:r>
              <w:rPr>
                <w:rFonts w:hint="eastAsia" w:ascii="仿宋" w:hAnsi="仿宋" w:eastAsia="仿宋" w:cs="仿宋"/>
                <w:b/>
                <w:color w:val="auto"/>
                <w:sz w:val="24"/>
              </w:rPr>
              <w:t>施工范围</w:t>
            </w:r>
          </w:p>
        </w:tc>
        <w:tc>
          <w:tcPr>
            <w:tcW w:w="1331" w:type="dxa"/>
            <w:tcBorders>
              <w:top w:val="outset" w:color="auto" w:sz="6" w:space="0"/>
              <w:left w:val="outset" w:color="auto" w:sz="8" w:space="0"/>
              <w:bottom w:val="outset" w:color="auto" w:sz="8" w:space="0"/>
              <w:right w:val="outset" w:color="auto" w:sz="8" w:space="0"/>
            </w:tcBorders>
            <w:shd w:val="clear" w:color="auto" w:fill="auto"/>
            <w:vAlign w:val="center"/>
          </w:tcPr>
          <w:p w14:paraId="0B3E7BA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b/>
                <w:color w:val="auto"/>
                <w:sz w:val="24"/>
              </w:rPr>
            </w:pPr>
            <w:r>
              <w:rPr>
                <w:rFonts w:hint="eastAsia" w:ascii="仿宋" w:hAnsi="仿宋" w:eastAsia="仿宋" w:cs="仿宋"/>
                <w:b/>
                <w:color w:val="auto"/>
                <w:sz w:val="24"/>
              </w:rPr>
              <w:t>施工工期</w:t>
            </w:r>
          </w:p>
        </w:tc>
        <w:tc>
          <w:tcPr>
            <w:tcW w:w="1195" w:type="dxa"/>
            <w:tcBorders>
              <w:top w:val="outset" w:color="auto" w:sz="6" w:space="0"/>
              <w:left w:val="outset" w:color="auto" w:sz="8" w:space="0"/>
              <w:bottom w:val="outset" w:color="auto" w:sz="8" w:space="0"/>
              <w:right w:val="outset" w:color="auto" w:sz="8" w:space="0"/>
            </w:tcBorders>
            <w:shd w:val="clear" w:color="auto" w:fill="auto"/>
            <w:vAlign w:val="center"/>
          </w:tcPr>
          <w:p w14:paraId="3E6AEEE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b/>
                <w:color w:val="auto"/>
                <w:sz w:val="24"/>
              </w:rPr>
            </w:pPr>
            <w:r>
              <w:rPr>
                <w:rFonts w:hint="eastAsia" w:ascii="仿宋" w:hAnsi="仿宋" w:eastAsia="仿宋" w:cs="仿宋"/>
                <w:b/>
                <w:color w:val="auto"/>
                <w:sz w:val="24"/>
              </w:rPr>
              <w:t>项目经理</w:t>
            </w:r>
          </w:p>
        </w:tc>
        <w:tc>
          <w:tcPr>
            <w:tcW w:w="1324" w:type="dxa"/>
            <w:tcBorders>
              <w:top w:val="outset" w:color="auto" w:sz="6" w:space="0"/>
              <w:left w:val="outset" w:color="auto" w:sz="8" w:space="0"/>
              <w:bottom w:val="outset" w:color="auto" w:sz="8" w:space="0"/>
              <w:right w:val="outset" w:color="auto" w:sz="8" w:space="0"/>
            </w:tcBorders>
            <w:shd w:val="clear" w:color="auto" w:fill="auto"/>
            <w:vAlign w:val="center"/>
          </w:tcPr>
          <w:p w14:paraId="390EB5EA">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b/>
                <w:color w:val="auto"/>
                <w:sz w:val="24"/>
              </w:rPr>
            </w:pPr>
            <w:r>
              <w:rPr>
                <w:rFonts w:hint="eastAsia" w:ascii="仿宋" w:hAnsi="仿宋" w:eastAsia="仿宋" w:cs="仿宋"/>
                <w:b/>
                <w:color w:val="auto"/>
                <w:sz w:val="24"/>
              </w:rPr>
              <w:t>执业证书信息</w:t>
            </w:r>
          </w:p>
        </w:tc>
        <w:tc>
          <w:tcPr>
            <w:tcW w:w="1395" w:type="dxa"/>
            <w:tcBorders>
              <w:top w:val="outset" w:color="auto" w:sz="6" w:space="0"/>
              <w:left w:val="outset" w:color="auto" w:sz="8" w:space="0"/>
              <w:bottom w:val="outset" w:color="auto" w:sz="8" w:space="0"/>
              <w:right w:val="outset" w:color="auto" w:sz="8" w:space="0"/>
            </w:tcBorders>
            <w:shd w:val="clear" w:color="auto" w:fill="auto"/>
            <w:vAlign w:val="center"/>
          </w:tcPr>
          <w:p w14:paraId="04384000">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b/>
                <w:color w:val="auto"/>
                <w:sz w:val="24"/>
              </w:rPr>
            </w:pPr>
            <w:r>
              <w:rPr>
                <w:rFonts w:hint="eastAsia" w:ascii="仿宋" w:hAnsi="仿宋" w:eastAsia="仿宋" w:cs="仿宋"/>
                <w:b/>
                <w:color w:val="auto"/>
                <w:sz w:val="24"/>
              </w:rPr>
              <w:t>金额(元)</w:t>
            </w:r>
          </w:p>
        </w:tc>
      </w:tr>
      <w:tr w14:paraId="7F23E966">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trHeight w:val="237" w:hRule="atLeast"/>
          <w:jc w:val="center"/>
        </w:trPr>
        <w:tc>
          <w:tcPr>
            <w:tcW w:w="607" w:type="dxa"/>
            <w:tcBorders>
              <w:top w:val="outset" w:color="auto" w:sz="6" w:space="0"/>
              <w:left w:val="outset" w:color="auto" w:sz="8" w:space="0"/>
              <w:bottom w:val="outset" w:color="auto" w:sz="8" w:space="0"/>
              <w:right w:val="outset" w:color="auto" w:sz="8" w:space="0"/>
            </w:tcBorders>
            <w:shd w:val="clear" w:color="auto" w:fill="auto"/>
            <w:vAlign w:val="center"/>
          </w:tcPr>
          <w:p w14:paraId="10444182">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color w:val="auto"/>
                <w:sz w:val="24"/>
              </w:rPr>
            </w:pPr>
            <w:r>
              <w:rPr>
                <w:rFonts w:hint="eastAsia" w:ascii="仿宋" w:hAnsi="仿宋" w:eastAsia="仿宋" w:cs="仿宋"/>
                <w:color w:val="auto"/>
                <w:kern w:val="0"/>
                <w:sz w:val="24"/>
                <w:szCs w:val="24"/>
                <w:vertAlign w:val="baseline"/>
                <w:lang w:val="en-US" w:eastAsia="zh-CN" w:bidi="ar"/>
              </w:rPr>
              <w:t>1</w:t>
            </w:r>
          </w:p>
        </w:tc>
        <w:tc>
          <w:tcPr>
            <w:tcW w:w="1776" w:type="dxa"/>
            <w:tcBorders>
              <w:top w:val="outset" w:color="auto" w:sz="6" w:space="0"/>
              <w:left w:val="outset" w:color="auto" w:sz="8" w:space="0"/>
              <w:bottom w:val="outset" w:color="auto" w:sz="8" w:space="0"/>
              <w:right w:val="outset" w:color="auto" w:sz="8" w:space="0"/>
            </w:tcBorders>
            <w:shd w:val="clear" w:color="auto" w:fill="auto"/>
            <w:vAlign w:val="center"/>
          </w:tcPr>
          <w:p w14:paraId="0EC06C1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highlight w:val="none"/>
                <w:lang w:val="en-US" w:eastAsia="zh-CN" w:bidi="ar"/>
              </w:rPr>
              <w:t>实训楼C-2层整体规划建设及实训室配套装修项目</w:t>
            </w:r>
          </w:p>
        </w:tc>
        <w:tc>
          <w:tcPr>
            <w:tcW w:w="2138" w:type="dxa"/>
            <w:tcBorders>
              <w:top w:val="outset" w:color="auto" w:sz="6" w:space="0"/>
              <w:left w:val="outset" w:color="auto" w:sz="8" w:space="0"/>
              <w:bottom w:val="outset" w:color="auto" w:sz="8" w:space="0"/>
              <w:right w:val="outset" w:color="auto" w:sz="8" w:space="0"/>
            </w:tcBorders>
            <w:shd w:val="clear" w:color="auto" w:fill="auto"/>
            <w:vAlign w:val="center"/>
          </w:tcPr>
          <w:p w14:paraId="3CB99B25">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default" w:ascii="仿宋" w:hAnsi="仿宋" w:eastAsia="仿宋" w:cs="仿宋"/>
                <w:color w:val="auto"/>
                <w:kern w:val="0"/>
                <w:sz w:val="24"/>
                <w:szCs w:val="24"/>
                <w:vertAlign w:val="baseline"/>
                <w:lang w:val="en-US" w:eastAsia="zh-CN" w:bidi="ar"/>
              </w:rPr>
            </w:pPr>
            <w:r>
              <w:rPr>
                <w:rFonts w:hint="default" w:ascii="仿宋" w:hAnsi="仿宋" w:eastAsia="仿宋" w:cs="仿宋"/>
                <w:color w:val="auto"/>
                <w:kern w:val="0"/>
                <w:sz w:val="24"/>
                <w:szCs w:val="24"/>
                <w:vertAlign w:val="baseline"/>
                <w:lang w:val="en-US" w:eastAsia="zh-CN" w:bidi="ar"/>
              </w:rPr>
              <w:t>包含</w:t>
            </w:r>
            <w:r>
              <w:rPr>
                <w:rFonts w:hint="eastAsia" w:ascii="仿宋" w:hAnsi="仿宋" w:eastAsia="仿宋" w:cs="仿宋"/>
                <w:color w:val="auto"/>
                <w:sz w:val="24"/>
                <w:szCs w:val="24"/>
                <w:highlight w:val="none"/>
                <w:lang w:eastAsia="zh-CN"/>
              </w:rPr>
              <w:t>室内拆除工程、新砌墙体、现浇水磨石楼地面、墙面涂抹防水、强弱电改造等。</w:t>
            </w:r>
          </w:p>
        </w:tc>
        <w:tc>
          <w:tcPr>
            <w:tcW w:w="1331" w:type="dxa"/>
            <w:tcBorders>
              <w:top w:val="outset" w:color="auto" w:sz="6" w:space="0"/>
              <w:left w:val="outset" w:color="auto" w:sz="8" w:space="0"/>
              <w:bottom w:val="outset" w:color="auto" w:sz="8" w:space="0"/>
              <w:right w:val="outset" w:color="auto" w:sz="8" w:space="0"/>
            </w:tcBorders>
            <w:shd w:val="clear" w:color="auto" w:fill="auto"/>
            <w:vAlign w:val="center"/>
          </w:tcPr>
          <w:p w14:paraId="3156A83D">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default" w:ascii="仿宋" w:hAnsi="仿宋" w:eastAsia="仿宋" w:cs="仿宋"/>
                <w:color w:val="auto"/>
                <w:kern w:val="0"/>
                <w:sz w:val="24"/>
                <w:szCs w:val="24"/>
                <w:vertAlign w:val="baseline"/>
                <w:lang w:val="en-US" w:eastAsia="zh-CN" w:bidi="ar"/>
              </w:rPr>
            </w:pPr>
            <w:r>
              <w:rPr>
                <w:rFonts w:hint="default" w:ascii="仿宋" w:hAnsi="仿宋" w:eastAsia="仿宋" w:cs="仿宋"/>
                <w:color w:val="auto"/>
                <w:kern w:val="0"/>
                <w:sz w:val="24"/>
                <w:szCs w:val="24"/>
                <w:vertAlign w:val="baseline"/>
                <w:lang w:val="en-US" w:eastAsia="zh-CN" w:bidi="ar"/>
              </w:rPr>
              <w:t>施工时限60个日历天。</w:t>
            </w:r>
          </w:p>
        </w:tc>
        <w:tc>
          <w:tcPr>
            <w:tcW w:w="1195" w:type="dxa"/>
            <w:tcBorders>
              <w:top w:val="outset" w:color="auto" w:sz="6" w:space="0"/>
              <w:left w:val="outset" w:color="auto" w:sz="8" w:space="0"/>
              <w:bottom w:val="outset" w:color="auto" w:sz="8" w:space="0"/>
              <w:right w:val="outset" w:color="auto" w:sz="8" w:space="0"/>
            </w:tcBorders>
            <w:shd w:val="clear" w:color="auto" w:fill="auto"/>
            <w:vAlign w:val="center"/>
          </w:tcPr>
          <w:p w14:paraId="7E2770C9">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default"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林安良</w:t>
            </w:r>
          </w:p>
        </w:tc>
        <w:tc>
          <w:tcPr>
            <w:tcW w:w="1324" w:type="dxa"/>
            <w:tcBorders>
              <w:top w:val="outset" w:color="auto" w:sz="6" w:space="0"/>
              <w:left w:val="outset" w:color="auto" w:sz="8" w:space="0"/>
              <w:bottom w:val="outset" w:color="auto" w:sz="8" w:space="0"/>
              <w:right w:val="outset" w:color="auto" w:sz="8" w:space="0"/>
            </w:tcBorders>
            <w:shd w:val="clear" w:color="auto" w:fill="auto"/>
            <w:vAlign w:val="center"/>
          </w:tcPr>
          <w:p w14:paraId="0D19AD5E">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default" w:ascii="仿宋" w:hAnsi="仿宋" w:eastAsia="仿宋" w:cs="仿宋"/>
                <w:color w:val="auto"/>
                <w:kern w:val="0"/>
                <w:sz w:val="24"/>
                <w:szCs w:val="24"/>
                <w:vertAlign w:val="baseline"/>
                <w:lang w:val="en-US" w:eastAsia="zh-CN" w:bidi="ar"/>
              </w:rPr>
            </w:pPr>
            <w:r>
              <w:rPr>
                <w:rFonts w:hint="eastAsia" w:ascii="仿宋" w:hAnsi="仿宋" w:eastAsia="仿宋" w:cs="仿宋"/>
                <w:color w:val="auto"/>
                <w:kern w:val="0"/>
                <w:sz w:val="24"/>
                <w:szCs w:val="24"/>
                <w:vertAlign w:val="baseline"/>
                <w:lang w:val="en-US" w:eastAsia="zh-CN" w:bidi="ar"/>
              </w:rPr>
              <w:t>闽2352011201135137</w:t>
            </w:r>
          </w:p>
        </w:tc>
        <w:tc>
          <w:tcPr>
            <w:tcW w:w="1395" w:type="dxa"/>
            <w:tcBorders>
              <w:top w:val="outset" w:color="auto" w:sz="6" w:space="0"/>
              <w:left w:val="outset" w:color="auto" w:sz="8" w:space="0"/>
              <w:bottom w:val="outset" w:color="auto" w:sz="8" w:space="0"/>
              <w:right w:val="outset" w:color="auto" w:sz="8" w:space="0"/>
            </w:tcBorders>
            <w:shd w:val="clear" w:color="auto" w:fill="auto"/>
            <w:vAlign w:val="center"/>
          </w:tcPr>
          <w:p w14:paraId="504DD85C">
            <w:pPr>
              <w:keepNext w:val="0"/>
              <w:keepLines w:val="0"/>
              <w:pageBreakBefore w:val="0"/>
              <w:widowControl/>
              <w:suppressLineNumbers w:val="0"/>
              <w:kinsoku/>
              <w:wordWrap w:val="0"/>
              <w:overflowPunct/>
              <w:topLinePunct w:val="0"/>
              <w:autoSpaceDE/>
              <w:autoSpaceDN/>
              <w:bidi w:val="0"/>
              <w:adjustRightInd/>
              <w:snapToGrid/>
              <w:spacing w:line="240" w:lineRule="auto"/>
              <w:ind w:left="0" w:leftChars="0" w:right="0" w:rightChars="0" w:firstLine="0" w:firstLineChars="0"/>
              <w:jc w:val="center"/>
              <w:textAlignment w:val="baseline"/>
              <w:rPr>
                <w:rFonts w:hint="eastAsia" w:ascii="仿宋" w:hAnsi="仿宋" w:eastAsia="仿宋" w:cs="仿宋"/>
                <w:color w:val="auto"/>
                <w:kern w:val="0"/>
                <w:sz w:val="24"/>
                <w:szCs w:val="24"/>
                <w:vertAlign w:val="baseline"/>
                <w:lang w:val="en-US" w:eastAsia="zh-CN" w:bidi="ar"/>
              </w:rPr>
            </w:pPr>
            <w:r>
              <w:rPr>
                <w:rFonts w:hint="eastAsia" w:ascii="仿宋" w:hAnsi="仿宋" w:eastAsia="仿宋" w:cs="仿宋"/>
                <w:i w:val="0"/>
                <w:iCs w:val="0"/>
                <w:color w:val="auto"/>
                <w:kern w:val="0"/>
                <w:sz w:val="24"/>
                <w:szCs w:val="24"/>
                <w:u w:val="none"/>
                <w:lang w:val="en-US" w:eastAsia="zh-CN" w:bidi="ar"/>
              </w:rPr>
              <w:t>274,791.14</w:t>
            </w:r>
          </w:p>
        </w:tc>
      </w:tr>
    </w:tbl>
    <w:p w14:paraId="12E3F60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Style w:val="11"/>
          <w:rFonts w:hint="eastAsia" w:ascii="仿宋" w:hAnsi="仿宋" w:eastAsia="仿宋" w:cs="仿宋"/>
          <w:b/>
          <w:bCs/>
          <w:i w:val="0"/>
          <w:iCs w:val="0"/>
          <w:caps w:val="0"/>
          <w:color w:val="auto"/>
          <w:spacing w:val="0"/>
          <w:sz w:val="24"/>
          <w:szCs w:val="24"/>
          <w:shd w:val="clear" w:fill="FFFFFF"/>
          <w:vertAlign w:val="baseline"/>
        </w:rPr>
        <w:t>五、评审专家名单：</w:t>
      </w:r>
    </w:p>
    <w:p w14:paraId="1817961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评审专家：郭升平</w:t>
      </w:r>
      <w:r>
        <w:rPr>
          <w:rFonts w:hint="eastAsia" w:ascii="仿宋" w:hAnsi="仿宋" w:eastAsia="仿宋" w:cs="仿宋"/>
          <w:i w:val="0"/>
          <w:iCs w:val="0"/>
          <w:caps w:val="0"/>
          <w:color w:val="auto"/>
          <w:spacing w:val="0"/>
          <w:sz w:val="24"/>
          <w:szCs w:val="24"/>
          <w:shd w:val="clear" w:fill="FFFFFF"/>
          <w:vertAlign w:val="baseline"/>
          <w:lang w:eastAsia="zh-CN"/>
        </w:rPr>
        <w:t>、</w:t>
      </w:r>
      <w:r>
        <w:rPr>
          <w:rFonts w:hint="eastAsia" w:ascii="仿宋" w:hAnsi="仿宋" w:eastAsia="仿宋" w:cs="仿宋"/>
          <w:i w:val="0"/>
          <w:iCs w:val="0"/>
          <w:caps w:val="0"/>
          <w:color w:val="auto"/>
          <w:spacing w:val="0"/>
          <w:sz w:val="24"/>
          <w:szCs w:val="24"/>
          <w:shd w:val="clear" w:fill="FFFFFF"/>
          <w:vertAlign w:val="baseline"/>
        </w:rPr>
        <w:t>张丕平</w:t>
      </w:r>
    </w:p>
    <w:p w14:paraId="12B87EE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采购人代表：汤绍康</w:t>
      </w:r>
      <w:bookmarkStart w:id="0" w:name="_GoBack"/>
      <w:bookmarkEnd w:id="0"/>
    </w:p>
    <w:p w14:paraId="2203827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Style w:val="11"/>
          <w:rFonts w:hint="eastAsia" w:ascii="仿宋" w:hAnsi="仿宋" w:eastAsia="仿宋" w:cs="仿宋"/>
          <w:b/>
          <w:bCs/>
          <w:i w:val="0"/>
          <w:iCs w:val="0"/>
          <w:caps w:val="0"/>
          <w:color w:val="auto"/>
          <w:spacing w:val="0"/>
          <w:sz w:val="24"/>
          <w:szCs w:val="24"/>
          <w:shd w:val="clear" w:fill="FFFFFF"/>
          <w:vertAlign w:val="baseline"/>
        </w:rPr>
        <w:t>六、代理服务收费标准及金额：</w:t>
      </w:r>
    </w:p>
    <w:p w14:paraId="2D88761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b w:val="0"/>
          <w:bCs w:val="0"/>
          <w:i w:val="0"/>
          <w:iCs w:val="0"/>
          <w:caps w:val="0"/>
          <w:color w:val="auto"/>
          <w:spacing w:val="0"/>
          <w:sz w:val="24"/>
          <w:szCs w:val="24"/>
          <w:shd w:val="clear" w:fill="FFFFFF"/>
          <w:vertAlign w:val="baseline"/>
          <w:lang w:val="en-US" w:eastAsia="zh-CN"/>
        </w:rPr>
      </w:pPr>
      <w:r>
        <w:rPr>
          <w:rFonts w:hint="eastAsia" w:ascii="仿宋" w:hAnsi="仿宋" w:eastAsia="仿宋" w:cs="仿宋"/>
          <w:b w:val="0"/>
          <w:bCs w:val="0"/>
          <w:i w:val="0"/>
          <w:iCs w:val="0"/>
          <w:caps w:val="0"/>
          <w:color w:val="auto"/>
          <w:spacing w:val="0"/>
          <w:sz w:val="24"/>
          <w:szCs w:val="24"/>
          <w:shd w:val="clear" w:fill="FFFFFF"/>
          <w:vertAlign w:val="baseline"/>
          <w:lang w:val="en-US" w:eastAsia="zh-CN"/>
        </w:rPr>
        <w:t>本项目招标代理服务费由成交供应商支付：</w:t>
      </w:r>
    </w:p>
    <w:p w14:paraId="1585C2E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b w:val="0"/>
          <w:bCs w:val="0"/>
          <w:i w:val="0"/>
          <w:iCs w:val="0"/>
          <w:caps w:val="0"/>
          <w:color w:val="auto"/>
          <w:spacing w:val="0"/>
          <w:sz w:val="24"/>
          <w:szCs w:val="24"/>
          <w:shd w:val="clear" w:fill="FFFFFF"/>
          <w:vertAlign w:val="baseline"/>
          <w:lang w:eastAsia="zh-CN"/>
        </w:rPr>
      </w:pPr>
      <w:r>
        <w:rPr>
          <w:rFonts w:hint="eastAsia" w:ascii="仿宋" w:hAnsi="仿宋" w:eastAsia="仿宋" w:cs="仿宋"/>
          <w:b w:val="0"/>
          <w:bCs w:val="0"/>
          <w:i w:val="0"/>
          <w:iCs w:val="0"/>
          <w:caps w:val="0"/>
          <w:color w:val="auto"/>
          <w:spacing w:val="0"/>
          <w:sz w:val="24"/>
          <w:szCs w:val="24"/>
          <w:shd w:val="clear" w:fill="FFFFFF"/>
          <w:vertAlign w:val="baseline"/>
          <w:lang w:val="en-US" w:eastAsia="zh-CN"/>
        </w:rPr>
        <w:t>（1）代理服务费收费标准：①以成交通知书规定的成交总金额作为收费的计算基数。②招标代理服务收费的标准：100(万元)以下收费费率标准：1.0%。（2）招标代理服务费的收取方式：招标代理服务费收费以银行转账、电汇、汇票等非现金方式支付。（3）招标代理服务费缴交银行账号：开户名：福建火山项目管理有限公司，开户行：兴业银行股份有限公司福州总行大厦营业部，账号：117010100100458598。</w:t>
      </w:r>
    </w:p>
    <w:p w14:paraId="1391681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Fonts w:hint="eastAsia" w:ascii="仿宋" w:hAnsi="仿宋" w:eastAsia="仿宋" w:cs="仿宋"/>
          <w:b/>
          <w:bCs/>
          <w:i w:val="0"/>
          <w:iCs w:val="0"/>
          <w:caps w:val="0"/>
          <w:color w:val="auto"/>
          <w:spacing w:val="0"/>
          <w:sz w:val="24"/>
          <w:szCs w:val="24"/>
          <w:shd w:val="clear" w:fill="FFFFFF"/>
          <w:vertAlign w:val="baseline"/>
        </w:rPr>
        <w:t>本项目代理费总金额：0.</w:t>
      </w:r>
      <w:r>
        <w:rPr>
          <w:rFonts w:hint="eastAsia" w:ascii="仿宋" w:hAnsi="仿宋" w:eastAsia="仿宋" w:cs="仿宋"/>
          <w:b/>
          <w:bCs/>
          <w:i w:val="0"/>
          <w:iCs w:val="0"/>
          <w:caps w:val="0"/>
          <w:color w:val="auto"/>
          <w:spacing w:val="0"/>
          <w:sz w:val="24"/>
          <w:szCs w:val="24"/>
          <w:shd w:val="clear" w:fill="FFFFFF"/>
          <w:vertAlign w:val="baseline"/>
          <w:lang w:val="en-US" w:eastAsia="zh-CN"/>
        </w:rPr>
        <w:t>274791</w:t>
      </w:r>
      <w:r>
        <w:rPr>
          <w:rFonts w:hint="eastAsia" w:ascii="仿宋" w:hAnsi="仿宋" w:eastAsia="仿宋" w:cs="仿宋"/>
          <w:b/>
          <w:bCs/>
          <w:i w:val="0"/>
          <w:iCs w:val="0"/>
          <w:caps w:val="0"/>
          <w:color w:val="auto"/>
          <w:spacing w:val="0"/>
          <w:sz w:val="24"/>
          <w:szCs w:val="24"/>
          <w:shd w:val="clear" w:fill="FFFFFF"/>
          <w:vertAlign w:val="baseline"/>
        </w:rPr>
        <w:t>万元（人民币）</w:t>
      </w:r>
    </w:p>
    <w:p w14:paraId="527A5B5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Style w:val="11"/>
          <w:rFonts w:hint="eastAsia" w:ascii="仿宋" w:hAnsi="仿宋" w:eastAsia="仿宋" w:cs="仿宋"/>
          <w:b/>
          <w:bCs/>
          <w:i w:val="0"/>
          <w:iCs w:val="0"/>
          <w:caps w:val="0"/>
          <w:color w:val="auto"/>
          <w:spacing w:val="0"/>
          <w:sz w:val="24"/>
          <w:szCs w:val="24"/>
          <w:shd w:val="clear" w:fill="FFFFFF"/>
          <w:vertAlign w:val="baseline"/>
        </w:rPr>
        <w:t>七、公告期限</w:t>
      </w:r>
    </w:p>
    <w:p w14:paraId="0701501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Fonts w:hint="eastAsia" w:ascii="仿宋" w:hAnsi="仿宋" w:eastAsia="仿宋" w:cs="仿宋"/>
          <w:i w:val="0"/>
          <w:iCs w:val="0"/>
          <w:caps w:val="0"/>
          <w:color w:val="auto"/>
          <w:spacing w:val="0"/>
          <w:sz w:val="24"/>
          <w:szCs w:val="24"/>
          <w:shd w:val="clear" w:fill="FFFFFF"/>
          <w:vertAlign w:val="baseline"/>
        </w:rPr>
        <w:t>自本公告发布之日起1个工作日。</w:t>
      </w:r>
    </w:p>
    <w:p w14:paraId="3BFC8CC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Style w:val="11"/>
          <w:rFonts w:hint="eastAsia" w:ascii="仿宋" w:hAnsi="仿宋" w:eastAsia="仿宋" w:cs="仿宋"/>
          <w:b/>
          <w:bCs/>
          <w:i w:val="0"/>
          <w:iCs w:val="0"/>
          <w:caps w:val="0"/>
          <w:color w:val="auto"/>
          <w:spacing w:val="0"/>
          <w:sz w:val="24"/>
          <w:szCs w:val="24"/>
          <w:shd w:val="clear" w:fill="FFFFFF"/>
          <w:vertAlign w:val="baseline"/>
        </w:rPr>
        <w:t>八、</w:t>
      </w:r>
      <w:r>
        <w:rPr>
          <w:rStyle w:val="11"/>
          <w:rFonts w:hint="eastAsia" w:ascii="仿宋" w:hAnsi="仿宋" w:eastAsia="仿宋" w:cs="仿宋"/>
          <w:b/>
          <w:bCs/>
          <w:i w:val="0"/>
          <w:iCs w:val="0"/>
          <w:caps w:val="0"/>
          <w:color w:val="auto"/>
          <w:spacing w:val="0"/>
          <w:sz w:val="24"/>
          <w:szCs w:val="24"/>
          <w:shd w:val="clear" w:fill="FFFFFF"/>
          <w:vertAlign w:val="baseline"/>
          <w:lang w:eastAsia="zh-CN"/>
        </w:rPr>
        <w:t>其他</w:t>
      </w:r>
      <w:r>
        <w:rPr>
          <w:rStyle w:val="11"/>
          <w:rFonts w:hint="eastAsia" w:ascii="仿宋" w:hAnsi="仿宋" w:eastAsia="仿宋" w:cs="仿宋"/>
          <w:b/>
          <w:bCs/>
          <w:i w:val="0"/>
          <w:iCs w:val="0"/>
          <w:caps w:val="0"/>
          <w:color w:val="auto"/>
          <w:spacing w:val="0"/>
          <w:sz w:val="24"/>
          <w:szCs w:val="24"/>
          <w:shd w:val="clear" w:fill="FFFFFF"/>
          <w:vertAlign w:val="baseline"/>
        </w:rPr>
        <w:t>补充事宜</w:t>
      </w:r>
    </w:p>
    <w:p w14:paraId="21BF898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lang w:val="en-US" w:eastAsia="zh-CN"/>
        </w:rPr>
      </w:pPr>
      <w:r>
        <w:rPr>
          <w:rFonts w:hint="eastAsia" w:ascii="仿宋" w:hAnsi="仿宋" w:eastAsia="仿宋" w:cs="仿宋"/>
          <w:i w:val="0"/>
          <w:iCs w:val="0"/>
          <w:caps w:val="0"/>
          <w:color w:val="auto"/>
          <w:spacing w:val="0"/>
          <w:sz w:val="24"/>
          <w:szCs w:val="24"/>
          <w:shd w:val="clear" w:fill="FFFFFF"/>
          <w:vertAlign w:val="baseline"/>
          <w:lang w:val="en-US" w:eastAsia="zh-CN"/>
        </w:rPr>
        <w:t>（一）谈判小组对各供应商的响应文件进行资格性审查：各供应商的资格性审查均合格。</w:t>
      </w:r>
    </w:p>
    <w:p w14:paraId="765EE38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lang w:val="en-US" w:eastAsia="zh-CN"/>
        </w:rPr>
      </w:pPr>
      <w:r>
        <w:rPr>
          <w:rFonts w:hint="eastAsia" w:ascii="仿宋" w:hAnsi="仿宋" w:eastAsia="仿宋" w:cs="仿宋"/>
          <w:i w:val="0"/>
          <w:iCs w:val="0"/>
          <w:caps w:val="0"/>
          <w:color w:val="auto"/>
          <w:spacing w:val="0"/>
          <w:sz w:val="24"/>
          <w:szCs w:val="24"/>
          <w:shd w:val="clear" w:fill="FFFFFF"/>
          <w:vertAlign w:val="baseline"/>
          <w:lang w:val="en-US" w:eastAsia="zh-CN"/>
        </w:rPr>
        <w:t>（二）谈判小组对各供应商的响应文件进行符合性审查：</w:t>
      </w:r>
    </w:p>
    <w:p w14:paraId="5266E18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jc w:val="left"/>
        <w:textAlignment w:val="auto"/>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kern w:val="2"/>
          <w:sz w:val="24"/>
          <w:szCs w:val="24"/>
          <w:lang w:val="en-US" w:eastAsia="zh-CN" w:bidi="ar-SA"/>
        </w:rPr>
        <w:t>1.</w:t>
      </w:r>
      <w:r>
        <w:rPr>
          <w:rFonts w:hint="eastAsia" w:ascii="仿宋" w:hAnsi="仿宋" w:eastAsia="仿宋" w:cs="仿宋"/>
          <w:b w:val="0"/>
          <w:bCs/>
          <w:color w:val="auto"/>
          <w:sz w:val="24"/>
          <w:szCs w:val="24"/>
          <w:highlight w:val="none"/>
          <w:lang w:val="en-US" w:eastAsia="zh-CN"/>
        </w:rPr>
        <w:t>福建汇祥建设工程发展有限公司、</w:t>
      </w:r>
      <w:r>
        <w:rPr>
          <w:rFonts w:hint="eastAsia" w:ascii="仿宋" w:hAnsi="仿宋" w:eastAsia="仿宋" w:cs="仿宋"/>
          <w:color w:val="auto"/>
          <w:kern w:val="2"/>
          <w:sz w:val="24"/>
          <w:szCs w:val="24"/>
          <w:lang w:val="en-US" w:eastAsia="zh-CN" w:bidi="ar-SA"/>
        </w:rPr>
        <w:t>福建晋旗建设有限公司、福建鑫宏锋电力建设有限公司</w:t>
      </w:r>
      <w:r>
        <w:rPr>
          <w:rFonts w:hint="eastAsia" w:ascii="仿宋" w:hAnsi="仿宋" w:eastAsia="仿宋" w:cs="仿宋"/>
          <w:b w:val="0"/>
          <w:bCs/>
          <w:color w:val="auto"/>
          <w:sz w:val="24"/>
          <w:szCs w:val="24"/>
          <w:highlight w:val="none"/>
          <w:lang w:val="en-US" w:eastAsia="zh-CN"/>
        </w:rPr>
        <w:t>未针对谈判文件第三章第二条中“（一）人员要求”所列要求提供完整的单独承诺函，属于谈判文件第三章第一点第（六）条及第二章第14.2.2条第(7)点规定的情形，经谈判小组评议，上述供应商符合性审查不合格，不进入谈判阶段。</w:t>
      </w:r>
    </w:p>
    <w:p w14:paraId="0E9CF04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jc w:val="left"/>
        <w:textAlignment w:val="auto"/>
        <w:outlineLvl w:val="9"/>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kern w:val="2"/>
          <w:sz w:val="24"/>
          <w:szCs w:val="24"/>
          <w:lang w:val="en-US" w:eastAsia="zh-CN" w:bidi="ar-SA"/>
        </w:rPr>
        <w:t>2.</w:t>
      </w:r>
      <w:r>
        <w:rPr>
          <w:rFonts w:hint="eastAsia" w:ascii="仿宋" w:hAnsi="仿宋" w:eastAsia="仿宋" w:cs="仿宋"/>
          <w:color w:val="auto"/>
          <w:kern w:val="2"/>
          <w:sz w:val="24"/>
          <w:szCs w:val="24"/>
          <w:lang w:val="en-US" w:eastAsia="zh-CN" w:bidi="ar-SA"/>
        </w:rPr>
        <w:t>福建省汇江建设发展有限公司未按谈判文件第三章第一点第（四）条中“4.3供应商的详细报价清单……供应商须在响应文件报价一览表备注栏明确填报本次报价对应的整体下浮率。”的规定填报整体下浮率，属于谈判文件</w:t>
      </w:r>
      <w:r>
        <w:rPr>
          <w:rFonts w:hint="eastAsia" w:ascii="仿宋" w:hAnsi="仿宋" w:eastAsia="仿宋" w:cs="仿宋"/>
          <w:b w:val="0"/>
          <w:bCs/>
          <w:color w:val="auto"/>
          <w:sz w:val="24"/>
          <w:szCs w:val="24"/>
          <w:highlight w:val="none"/>
          <w:lang w:val="en-US" w:eastAsia="zh-CN"/>
        </w:rPr>
        <w:t>第二章第14.2.2条第(10)点规定的情形，经谈判小组评议，该供应商符合性审查不合格，不进入谈判阶段。</w:t>
      </w:r>
    </w:p>
    <w:p w14:paraId="18A547E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jc w:val="left"/>
        <w:textAlignment w:val="auto"/>
        <w:outlineLvl w:val="9"/>
        <w:rPr>
          <w:rFonts w:hint="default" w:ascii="仿宋" w:hAnsi="仿宋" w:eastAsia="仿宋" w:cs="仿宋"/>
          <w:b w:val="0"/>
          <w:bCs/>
          <w:color w:val="auto"/>
          <w:sz w:val="24"/>
          <w:szCs w:val="24"/>
          <w:highlight w:val="none"/>
          <w:lang w:val="en-US" w:eastAsia="zh-CN"/>
        </w:rPr>
      </w:pPr>
      <w:r>
        <w:rPr>
          <w:rFonts w:hint="default" w:ascii="仿宋" w:hAnsi="仿宋" w:eastAsia="仿宋" w:cs="仿宋"/>
          <w:b w:val="0"/>
          <w:bCs/>
          <w:color w:val="auto"/>
          <w:kern w:val="2"/>
          <w:sz w:val="24"/>
          <w:szCs w:val="24"/>
          <w:lang w:val="en-US" w:eastAsia="zh-CN" w:bidi="ar-SA"/>
        </w:rPr>
        <w:t>3.</w:t>
      </w:r>
      <w:r>
        <w:rPr>
          <w:rFonts w:hint="eastAsia" w:ascii="仿宋" w:hAnsi="仿宋" w:eastAsia="仿宋" w:cs="仿宋"/>
          <w:color w:val="auto"/>
          <w:kern w:val="2"/>
          <w:sz w:val="24"/>
          <w:szCs w:val="24"/>
          <w:lang w:val="en-US" w:eastAsia="zh-CN" w:bidi="ar-SA"/>
        </w:rPr>
        <w:t>福建雄鑫建筑工程有限公司所提供的拟派人员名单汇总表中未体现项目负责人相关信息，</w:t>
      </w:r>
      <w:r>
        <w:rPr>
          <w:rFonts w:hint="eastAsia" w:ascii="仿宋" w:hAnsi="仿宋" w:eastAsia="仿宋" w:cs="仿宋"/>
          <w:b w:val="0"/>
          <w:bCs/>
          <w:color w:val="auto"/>
          <w:sz w:val="24"/>
          <w:szCs w:val="24"/>
          <w:highlight w:val="none"/>
          <w:lang w:val="en-US" w:eastAsia="zh-CN"/>
        </w:rPr>
        <w:t>属于谈判文件第三章第一点第（六）条及第二章第14.2.2条第(7)点规定的情形，经谈判小组评议，该供应商符合性审查不合格，不进入谈判阶段。</w:t>
      </w:r>
    </w:p>
    <w:p w14:paraId="5CCBCED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jc w:val="left"/>
        <w:textAlignment w:val="auto"/>
        <w:outlineLvl w:val="9"/>
        <w:rPr>
          <w:rFonts w:hint="default" w:ascii="仿宋" w:hAnsi="仿宋" w:eastAsia="仿宋" w:cs="仿宋"/>
          <w:b w:val="0"/>
          <w:bCs/>
          <w:color w:val="auto"/>
          <w:sz w:val="24"/>
          <w:szCs w:val="24"/>
          <w:highlight w:val="none"/>
          <w:lang w:val="en-US" w:eastAsia="zh-CN"/>
        </w:rPr>
      </w:pPr>
      <w:r>
        <w:rPr>
          <w:rFonts w:hint="default" w:ascii="仿宋" w:hAnsi="仿宋" w:eastAsia="仿宋" w:cs="仿宋"/>
          <w:b w:val="0"/>
          <w:bCs/>
          <w:color w:val="auto"/>
          <w:kern w:val="2"/>
          <w:sz w:val="24"/>
          <w:szCs w:val="24"/>
          <w:lang w:val="en-US" w:eastAsia="zh-CN" w:bidi="ar-SA"/>
        </w:rPr>
        <w:t>4.</w:t>
      </w:r>
      <w:r>
        <w:rPr>
          <w:rFonts w:hint="eastAsia" w:ascii="仿宋" w:hAnsi="仿宋" w:eastAsia="仿宋" w:cs="仿宋"/>
          <w:color w:val="auto"/>
          <w:kern w:val="2"/>
          <w:sz w:val="24"/>
          <w:szCs w:val="24"/>
          <w:lang w:val="en-US" w:eastAsia="zh-CN" w:bidi="ar-SA"/>
        </w:rPr>
        <w:t>河南鼎义建设集团有限公司未按谈判文件第三章第二点第（六）条中“3.成交供应商须确保项目进度并在响应文件中针对本项目提供施工进度表（以横道图形式）。成交供应商接到采购人下达的任务（任务书）后，应在3日内提交施工人员名单，并经采购人确认后组织实施。”的规定提供施工进度表（以横道图形式），</w:t>
      </w:r>
      <w:r>
        <w:rPr>
          <w:rFonts w:hint="eastAsia" w:ascii="仿宋" w:hAnsi="仿宋" w:eastAsia="仿宋" w:cs="仿宋"/>
          <w:b w:val="0"/>
          <w:bCs/>
          <w:color w:val="auto"/>
          <w:sz w:val="24"/>
          <w:szCs w:val="24"/>
          <w:highlight w:val="none"/>
          <w:lang w:val="en-US" w:eastAsia="zh-CN"/>
        </w:rPr>
        <w:t>属于谈判文件第三章第一点第（六）条及第二章第14.2.2条第(7)点规定的情形，经谈判小组评议，该供应商符合性审查不合格，不进入谈判阶段。</w:t>
      </w:r>
    </w:p>
    <w:p w14:paraId="68F0099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jc w:val="left"/>
        <w:textAlignment w:val="auto"/>
        <w:outlineLvl w:val="9"/>
        <w:rPr>
          <w:rFonts w:hint="default" w:ascii="仿宋" w:hAnsi="仿宋" w:eastAsia="仿宋" w:cs="仿宋"/>
          <w:b w:val="0"/>
          <w:bCs/>
          <w:color w:val="auto"/>
          <w:sz w:val="24"/>
          <w:szCs w:val="24"/>
          <w:highlight w:val="none"/>
          <w:lang w:val="en-US" w:eastAsia="zh-CN"/>
        </w:rPr>
      </w:pPr>
      <w:r>
        <w:rPr>
          <w:rFonts w:hint="default" w:ascii="仿宋" w:hAnsi="仿宋" w:eastAsia="仿宋" w:cs="仿宋"/>
          <w:b w:val="0"/>
          <w:bCs/>
          <w:color w:val="auto"/>
          <w:kern w:val="2"/>
          <w:sz w:val="24"/>
          <w:szCs w:val="24"/>
          <w:lang w:val="en-US" w:eastAsia="zh-CN" w:bidi="ar-SA"/>
        </w:rPr>
        <w:t>5.</w:t>
      </w:r>
      <w:r>
        <w:rPr>
          <w:rFonts w:hint="eastAsia" w:ascii="仿宋" w:hAnsi="仿宋" w:eastAsia="仿宋" w:cs="仿宋"/>
          <w:color w:val="auto"/>
          <w:kern w:val="2"/>
          <w:sz w:val="24"/>
          <w:szCs w:val="24"/>
          <w:lang w:val="en-US" w:eastAsia="zh-CN" w:bidi="ar-SA"/>
        </w:rPr>
        <w:t>河南拾亿建设工程有限公司所提供的施工员未提供助理工程师及以上专业技术职称证书，造价人员所提供的一级注册造价师（土木建筑工程）执业资格证书已过使用有效期限，高处作业人员未提供本项目首次提交响应文件截止时间前六个月（不含首次提交响应文件截止时间的当月）内任一个月由供应商为其缴交社保的证明材料，</w:t>
      </w:r>
      <w:r>
        <w:rPr>
          <w:rFonts w:hint="eastAsia" w:ascii="仿宋" w:hAnsi="仿宋" w:eastAsia="仿宋" w:cs="仿宋"/>
          <w:b w:val="0"/>
          <w:bCs/>
          <w:color w:val="auto"/>
          <w:sz w:val="24"/>
          <w:szCs w:val="24"/>
          <w:highlight w:val="none"/>
          <w:lang w:val="en-US" w:eastAsia="zh-CN"/>
        </w:rPr>
        <w:t>属于谈判文件第三章第一点第（六）条及第二章第14.2.2条第(7)点规定的情形，经谈判小组评议，该供应商符合性审查不合格，不进入谈判阶段。</w:t>
      </w:r>
    </w:p>
    <w:p w14:paraId="537D42D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jc w:val="left"/>
        <w:textAlignment w:val="auto"/>
        <w:outlineLvl w:val="9"/>
        <w:rPr>
          <w:rFonts w:hint="default" w:ascii="仿宋" w:hAnsi="仿宋" w:eastAsia="仿宋" w:cs="仿宋"/>
          <w:b w:val="0"/>
          <w:bCs/>
          <w:color w:val="auto"/>
          <w:sz w:val="24"/>
          <w:szCs w:val="24"/>
          <w:highlight w:val="none"/>
          <w:lang w:val="en-US" w:eastAsia="zh-CN"/>
        </w:rPr>
      </w:pPr>
      <w:r>
        <w:rPr>
          <w:rFonts w:hint="default" w:ascii="仿宋" w:hAnsi="仿宋" w:eastAsia="仿宋" w:cs="仿宋"/>
          <w:b w:val="0"/>
          <w:bCs/>
          <w:color w:val="auto"/>
          <w:kern w:val="2"/>
          <w:sz w:val="24"/>
          <w:szCs w:val="24"/>
          <w:lang w:val="en-US" w:eastAsia="zh-CN" w:bidi="ar-SA"/>
        </w:rPr>
        <w:t>6.</w:t>
      </w:r>
      <w:r>
        <w:rPr>
          <w:rFonts w:hint="eastAsia" w:ascii="仿宋" w:hAnsi="仿宋" w:eastAsia="仿宋" w:cs="仿宋"/>
          <w:color w:val="auto"/>
          <w:kern w:val="2"/>
          <w:sz w:val="24"/>
          <w:szCs w:val="24"/>
          <w:lang w:val="en-US" w:eastAsia="zh-CN" w:bidi="ar-SA"/>
        </w:rPr>
        <w:t>筑榕建设发展有限公司未按谈判文件第三章第一点第（四）条中“4.3供应商的详细报价清单……供应商须在响应文件报价一览表备注栏明确填报本次报价对应的整体下浮率。”的规定填报整体下浮率</w:t>
      </w:r>
      <w:r>
        <w:rPr>
          <w:rFonts w:hint="eastAsia" w:ascii="仿宋" w:hAnsi="仿宋" w:eastAsia="仿宋" w:cs="仿宋"/>
          <w:b w:val="0"/>
          <w:bCs/>
          <w:color w:val="auto"/>
          <w:sz w:val="24"/>
          <w:szCs w:val="24"/>
          <w:highlight w:val="none"/>
          <w:lang w:val="en-US" w:eastAsia="zh-CN"/>
        </w:rPr>
        <w:t>；其</w:t>
      </w:r>
      <w:r>
        <w:rPr>
          <w:rFonts w:hint="eastAsia" w:ascii="仿宋" w:hAnsi="仿宋" w:eastAsia="仿宋" w:cs="仿宋"/>
          <w:color w:val="auto"/>
          <w:kern w:val="2"/>
          <w:sz w:val="24"/>
          <w:szCs w:val="24"/>
          <w:lang w:val="en-US" w:eastAsia="zh-CN" w:bidi="ar-SA"/>
        </w:rPr>
        <w:t>所提供的拟派人员名单汇总表中未体现造价人员、高空作业人员相关信息（至少包含姓名、岗位、联系电话、身份证号码）且未同时提交上述人员的相关证明材料；其所提供的施工员未提供助理工程师及以上专业技术职称证书；未按谈判文件第三章第二点第（六）条中“3.成交供应商须确保项目进度并在响应文件中针对本项目提供施工进度表（以横道图形式）。成交供应商接到采购人下达的任务（任务书）后，应在3日内提交施工人员名单，并经采购人确认后组织实施。”的规定提供施工进度表（以横道图形式）；</w:t>
      </w:r>
      <w:r>
        <w:rPr>
          <w:rFonts w:hint="eastAsia" w:ascii="仿宋" w:hAnsi="仿宋" w:eastAsia="仿宋" w:cs="仿宋"/>
          <w:b w:val="0"/>
          <w:bCs/>
          <w:color w:val="auto"/>
          <w:sz w:val="24"/>
          <w:szCs w:val="24"/>
          <w:highlight w:val="none"/>
          <w:lang w:val="en-US" w:eastAsia="zh-CN"/>
        </w:rPr>
        <w:t>未针对谈判文件第三章第二条中“（一）人员要求”所列要求提供完整的单独承诺函。综上，以上所列符合性审查情况属于谈判文件第三章第一点第（六）条及第二章第14.2.2条第(7)点、第(10)点规定的情形，经谈判小组评议，该供应商符合性审查不合格，不进入谈判阶段。</w:t>
      </w:r>
    </w:p>
    <w:p w14:paraId="196AA73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baseline"/>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报价符合性环节：福建启点建设有限公司所提交的最终报价未按谈判文件第三章第一点第（四）条“4.4多轮报价规则：供应商提交最后报价时，可不再重复提交完整分项报价清单，但须在最后报价一览表中填报最终总价及对应整体下浮率。……下浮率填报格式错误、报价高于最高限价、未按要求填报下浮率的，均视为无效报价，按无效响应处理。”的规定填报最终报价的整体下浮率，经谈判小组评议，该供应商所提交最终报价视为无效报价，按无效响应处理。</w:t>
      </w:r>
    </w:p>
    <w:p w14:paraId="714CAFE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baseline"/>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8.其他供应商符合性审查均合格。</w:t>
      </w:r>
    </w:p>
    <w:p w14:paraId="69FBD1A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default" w:ascii="仿宋" w:hAnsi="仿宋" w:eastAsia="仿宋" w:cs="仿宋"/>
          <w:i w:val="0"/>
          <w:iCs w:val="0"/>
          <w:caps w:val="0"/>
          <w:color w:val="auto"/>
          <w:spacing w:val="0"/>
          <w:sz w:val="24"/>
          <w:szCs w:val="24"/>
          <w:shd w:val="clear" w:fill="FFFFFF"/>
          <w:vertAlign w:val="baseline"/>
          <w:lang w:val="en-US" w:eastAsia="zh-CN"/>
        </w:rPr>
      </w:pPr>
      <w:r>
        <w:rPr>
          <w:rFonts w:hint="eastAsia" w:ascii="仿宋" w:hAnsi="仿宋" w:eastAsia="仿宋" w:cs="仿宋"/>
          <w:i w:val="0"/>
          <w:iCs w:val="0"/>
          <w:caps w:val="0"/>
          <w:color w:val="auto"/>
          <w:spacing w:val="0"/>
          <w:sz w:val="24"/>
          <w:szCs w:val="24"/>
          <w:shd w:val="clear" w:fill="FFFFFF"/>
          <w:vertAlign w:val="baseline"/>
          <w:lang w:val="en-US" w:eastAsia="zh-CN"/>
        </w:rPr>
        <w:t>（三）政策性价格扣除情况：无。</w:t>
      </w:r>
    </w:p>
    <w:p w14:paraId="6112849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lang w:val="en-US" w:eastAsia="zh-CN"/>
        </w:rPr>
      </w:pPr>
      <w:r>
        <w:rPr>
          <w:rFonts w:hint="eastAsia" w:ascii="仿宋" w:hAnsi="仿宋" w:eastAsia="仿宋" w:cs="仿宋"/>
          <w:i w:val="0"/>
          <w:iCs w:val="0"/>
          <w:caps w:val="0"/>
          <w:color w:val="auto"/>
          <w:spacing w:val="0"/>
          <w:sz w:val="24"/>
          <w:szCs w:val="24"/>
          <w:shd w:val="clear" w:fill="FFFFFF"/>
          <w:vertAlign w:val="baseline"/>
          <w:lang w:val="en-US" w:eastAsia="zh-CN"/>
        </w:rPr>
        <w:t>（四）采购结果确定日期：2026年10月20日</w:t>
      </w:r>
    </w:p>
    <w:p w14:paraId="00D4E65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lang w:val="en-US" w:eastAsia="zh-CN"/>
        </w:rPr>
      </w:pPr>
      <w:r>
        <w:rPr>
          <w:rFonts w:hint="eastAsia" w:ascii="仿宋" w:hAnsi="仿宋" w:eastAsia="仿宋" w:cs="仿宋"/>
          <w:i w:val="0"/>
          <w:iCs w:val="0"/>
          <w:caps w:val="0"/>
          <w:color w:val="auto"/>
          <w:spacing w:val="0"/>
          <w:sz w:val="24"/>
          <w:szCs w:val="24"/>
          <w:shd w:val="clear" w:fill="FFFFFF"/>
          <w:vertAlign w:val="baseline"/>
          <w:lang w:val="en-US" w:eastAsia="zh-CN"/>
        </w:rPr>
        <w:t>（五）发布公告的媒介：</w:t>
      </w:r>
    </w:p>
    <w:p w14:paraId="470669D2">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val="0"/>
          <w:bCs w:val="0"/>
          <w:i w:val="0"/>
          <w:iCs w:val="0"/>
          <w:kern w:val="0"/>
          <w:sz w:val="24"/>
          <w:szCs w:val="24"/>
          <w:highlight w:val="none"/>
          <w:u w:val="none"/>
          <w:lang w:val="en-US" w:eastAsia="zh-CN"/>
        </w:rPr>
      </w:pPr>
      <w:r>
        <w:rPr>
          <w:rFonts w:hint="eastAsia" w:ascii="仿宋" w:hAnsi="仿宋" w:eastAsia="仿宋" w:cs="仿宋"/>
          <w:b w:val="0"/>
          <w:bCs w:val="0"/>
          <w:i w:val="0"/>
          <w:iCs w:val="0"/>
          <w:kern w:val="0"/>
          <w:sz w:val="24"/>
          <w:szCs w:val="24"/>
          <w:highlight w:val="none"/>
          <w:u w:val="none"/>
          <w:lang w:val="en-US" w:eastAsia="zh-CN"/>
        </w:rPr>
        <w:t>工采通电子招投标交易平台：https://easy-prt.com/home</w:t>
      </w:r>
    </w:p>
    <w:p w14:paraId="7B76CF08">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val="0"/>
          <w:bCs w:val="0"/>
          <w:i w:val="0"/>
          <w:iCs w:val="0"/>
          <w:kern w:val="0"/>
          <w:sz w:val="24"/>
          <w:szCs w:val="24"/>
          <w:u w:val="none"/>
          <w:lang w:val="en-US" w:eastAsia="zh-CN"/>
        </w:rPr>
      </w:pPr>
      <w:r>
        <w:rPr>
          <w:rFonts w:hint="eastAsia" w:ascii="仿宋" w:hAnsi="仿宋" w:eastAsia="仿宋" w:cs="仿宋"/>
          <w:b w:val="0"/>
          <w:bCs w:val="0"/>
          <w:i w:val="0"/>
          <w:iCs w:val="0"/>
          <w:kern w:val="0"/>
          <w:sz w:val="24"/>
          <w:szCs w:val="24"/>
          <w:u w:val="none"/>
          <w:lang w:val="en-US" w:eastAsia="zh-CN"/>
        </w:rPr>
        <w:t>福建火山项目管理有限公司官网：http://www.fjhsxm.com/</w:t>
      </w:r>
    </w:p>
    <w:p w14:paraId="34D45B5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color w:val="auto"/>
          <w:sz w:val="24"/>
          <w:szCs w:val="24"/>
        </w:rPr>
      </w:pPr>
      <w:r>
        <w:rPr>
          <w:rStyle w:val="11"/>
          <w:rFonts w:hint="eastAsia" w:ascii="仿宋" w:hAnsi="仿宋" w:eastAsia="仿宋" w:cs="仿宋"/>
          <w:b/>
          <w:bCs/>
          <w:i w:val="0"/>
          <w:iCs w:val="0"/>
          <w:caps w:val="0"/>
          <w:color w:val="auto"/>
          <w:spacing w:val="0"/>
          <w:sz w:val="24"/>
          <w:szCs w:val="24"/>
          <w:shd w:val="clear" w:fill="FFFFFF"/>
          <w:vertAlign w:val="baseline"/>
        </w:rPr>
        <w:t>九、凡对本次公告内容提出询问，请按以下方式联系。</w:t>
      </w:r>
    </w:p>
    <w:p w14:paraId="029850E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1.采购人信息</w:t>
      </w:r>
    </w:p>
    <w:p w14:paraId="5FEAD0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lang w:eastAsia="zh-CN"/>
        </w:rPr>
      </w:pPr>
      <w:r>
        <w:rPr>
          <w:rFonts w:hint="eastAsia" w:ascii="仿宋" w:hAnsi="仿宋" w:eastAsia="仿宋" w:cs="仿宋"/>
          <w:i w:val="0"/>
          <w:iCs w:val="0"/>
          <w:caps w:val="0"/>
          <w:color w:val="auto"/>
          <w:spacing w:val="0"/>
          <w:sz w:val="24"/>
          <w:szCs w:val="24"/>
          <w:shd w:val="clear" w:fill="FFFFFF"/>
          <w:vertAlign w:val="baseline"/>
        </w:rPr>
        <w:t>名称：</w:t>
      </w:r>
      <w:r>
        <w:rPr>
          <w:rFonts w:hint="eastAsia" w:ascii="仿宋" w:hAnsi="仿宋" w:eastAsia="仿宋" w:cs="仿宋"/>
          <w:i w:val="0"/>
          <w:iCs w:val="0"/>
          <w:caps w:val="0"/>
          <w:color w:val="auto"/>
          <w:spacing w:val="0"/>
          <w:sz w:val="24"/>
          <w:szCs w:val="24"/>
          <w:shd w:val="clear" w:fill="FFFFFF"/>
          <w:vertAlign w:val="baseline"/>
          <w:lang w:eastAsia="zh-CN"/>
        </w:rPr>
        <w:t>福州职业技术</w:t>
      </w:r>
      <w:r>
        <w:rPr>
          <w:rFonts w:hint="eastAsia" w:ascii="仿宋" w:hAnsi="仿宋" w:eastAsia="仿宋" w:cs="仿宋"/>
          <w:i w:val="0"/>
          <w:iCs w:val="0"/>
          <w:caps w:val="0"/>
          <w:color w:val="auto"/>
          <w:spacing w:val="0"/>
          <w:sz w:val="24"/>
          <w:szCs w:val="24"/>
          <w:shd w:val="clear" w:fill="FFFFFF"/>
          <w:vertAlign w:val="baseline"/>
          <w:lang w:val="en-US" w:eastAsia="zh-CN"/>
        </w:rPr>
        <w:t>大学</w:t>
      </w:r>
    </w:p>
    <w:p w14:paraId="6CF7B9A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地址：福建省福州大学城联榕路8号</w:t>
      </w:r>
    </w:p>
    <w:p w14:paraId="27A3D65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联系方式：黄老师0591-83760305</w:t>
      </w:r>
    </w:p>
    <w:p w14:paraId="43A3108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2.采购代理机构信息</w:t>
      </w:r>
    </w:p>
    <w:p w14:paraId="340EE31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名称：福建火山项目管理有限公司</w:t>
      </w:r>
    </w:p>
    <w:p w14:paraId="49B38AB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地址：福建省福州市晋安区王庄街道福新中路75号永同昌大厦11层05、06室</w:t>
      </w:r>
    </w:p>
    <w:p w14:paraId="02478A8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联系方式：林鹭、何丹萍、林龙宇、许灿军0591-83666679</w:t>
      </w:r>
    </w:p>
    <w:p w14:paraId="396A019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3.项目联系方式</w:t>
      </w:r>
    </w:p>
    <w:p w14:paraId="109E6BA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项目联系人：林鹭、何丹萍、林龙宇、许灿军</w:t>
      </w:r>
    </w:p>
    <w:p w14:paraId="1075E3A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226" w:firstLine="0" w:firstLineChars="0"/>
        <w:textAlignment w:val="baseline"/>
        <w:rPr>
          <w:rFonts w:hint="eastAsia" w:ascii="仿宋" w:hAnsi="仿宋" w:eastAsia="仿宋" w:cs="仿宋"/>
          <w:i w:val="0"/>
          <w:iCs w:val="0"/>
          <w:caps w:val="0"/>
          <w:color w:val="auto"/>
          <w:spacing w:val="0"/>
          <w:sz w:val="24"/>
          <w:szCs w:val="24"/>
          <w:shd w:val="clear" w:fill="FFFFFF"/>
          <w:vertAlign w:val="baseline"/>
        </w:rPr>
      </w:pPr>
      <w:r>
        <w:rPr>
          <w:rFonts w:hint="eastAsia" w:ascii="仿宋" w:hAnsi="仿宋" w:eastAsia="仿宋" w:cs="仿宋"/>
          <w:i w:val="0"/>
          <w:iCs w:val="0"/>
          <w:caps w:val="0"/>
          <w:color w:val="auto"/>
          <w:spacing w:val="0"/>
          <w:sz w:val="24"/>
          <w:szCs w:val="24"/>
          <w:shd w:val="clear" w:fill="FFFFFF"/>
          <w:vertAlign w:val="baseline"/>
        </w:rPr>
        <w:t>电话：0591-83666679</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3BEE1CD8-1C93-4AFA-8347-F0052959E33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2B646F"/>
    <w:rsid w:val="00274CA9"/>
    <w:rsid w:val="01610122"/>
    <w:rsid w:val="03004097"/>
    <w:rsid w:val="03F84D6E"/>
    <w:rsid w:val="049D20AA"/>
    <w:rsid w:val="05602C9F"/>
    <w:rsid w:val="05D47115"/>
    <w:rsid w:val="07D44848"/>
    <w:rsid w:val="08C202C7"/>
    <w:rsid w:val="08E213B6"/>
    <w:rsid w:val="09F76440"/>
    <w:rsid w:val="09F9472D"/>
    <w:rsid w:val="0A5B4B86"/>
    <w:rsid w:val="0C3B1C9C"/>
    <w:rsid w:val="0C5F7787"/>
    <w:rsid w:val="0C7C3457"/>
    <w:rsid w:val="1092654A"/>
    <w:rsid w:val="1113541C"/>
    <w:rsid w:val="12D51881"/>
    <w:rsid w:val="13AD5020"/>
    <w:rsid w:val="145C4B85"/>
    <w:rsid w:val="15030855"/>
    <w:rsid w:val="166C5148"/>
    <w:rsid w:val="17AC65F2"/>
    <w:rsid w:val="182E6B59"/>
    <w:rsid w:val="18EB3B07"/>
    <w:rsid w:val="1B2B646F"/>
    <w:rsid w:val="1B3350DD"/>
    <w:rsid w:val="1C53319B"/>
    <w:rsid w:val="1EAD4E99"/>
    <w:rsid w:val="21055681"/>
    <w:rsid w:val="222E307C"/>
    <w:rsid w:val="231F6A45"/>
    <w:rsid w:val="24EE7D9B"/>
    <w:rsid w:val="2547125A"/>
    <w:rsid w:val="2AC46EA9"/>
    <w:rsid w:val="2B006133"/>
    <w:rsid w:val="2CB06359"/>
    <w:rsid w:val="2E2D19BA"/>
    <w:rsid w:val="2FA31782"/>
    <w:rsid w:val="30760C45"/>
    <w:rsid w:val="31BE4652"/>
    <w:rsid w:val="336F60D2"/>
    <w:rsid w:val="34733E19"/>
    <w:rsid w:val="34BF697D"/>
    <w:rsid w:val="398236E5"/>
    <w:rsid w:val="3A6366DE"/>
    <w:rsid w:val="3A931BCD"/>
    <w:rsid w:val="3B023801"/>
    <w:rsid w:val="3B331C0C"/>
    <w:rsid w:val="3D411CBC"/>
    <w:rsid w:val="3E6F72E4"/>
    <w:rsid w:val="3F98776F"/>
    <w:rsid w:val="40DB1322"/>
    <w:rsid w:val="40E816EB"/>
    <w:rsid w:val="41DD28D2"/>
    <w:rsid w:val="42BA2C13"/>
    <w:rsid w:val="43345FFD"/>
    <w:rsid w:val="441C67D7"/>
    <w:rsid w:val="46D46A91"/>
    <w:rsid w:val="49583341"/>
    <w:rsid w:val="4B294DDA"/>
    <w:rsid w:val="4E045838"/>
    <w:rsid w:val="4E426780"/>
    <w:rsid w:val="4E730CEB"/>
    <w:rsid w:val="4F11005F"/>
    <w:rsid w:val="502355EB"/>
    <w:rsid w:val="503670FE"/>
    <w:rsid w:val="51172D0B"/>
    <w:rsid w:val="52354064"/>
    <w:rsid w:val="56494582"/>
    <w:rsid w:val="57A46AAA"/>
    <w:rsid w:val="57D45AB2"/>
    <w:rsid w:val="57E36310"/>
    <w:rsid w:val="5A584D94"/>
    <w:rsid w:val="5A8F2E41"/>
    <w:rsid w:val="5AAA4EC0"/>
    <w:rsid w:val="5D2418A5"/>
    <w:rsid w:val="5D7874FB"/>
    <w:rsid w:val="5E086AD1"/>
    <w:rsid w:val="61A3584B"/>
    <w:rsid w:val="64F97173"/>
    <w:rsid w:val="664B7997"/>
    <w:rsid w:val="6912239E"/>
    <w:rsid w:val="69B75451"/>
    <w:rsid w:val="6ACD70D8"/>
    <w:rsid w:val="6F8C7562"/>
    <w:rsid w:val="7218206E"/>
    <w:rsid w:val="73A330CC"/>
    <w:rsid w:val="73DB2866"/>
    <w:rsid w:val="788B412F"/>
    <w:rsid w:val="797A667D"/>
    <w:rsid w:val="79C2422B"/>
    <w:rsid w:val="7A020420"/>
    <w:rsid w:val="7A552C46"/>
    <w:rsid w:val="7AA02113"/>
    <w:rsid w:val="7B9F5114"/>
    <w:rsid w:val="7FA26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4">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toa heading"/>
    <w:basedOn w:val="1"/>
    <w:next w:val="1"/>
    <w:qFormat/>
    <w:uiPriority w:val="0"/>
    <w:pPr>
      <w:spacing w:before="120" w:beforeLines="0" w:beforeAutospacing="0"/>
      <w:jc w:val="center"/>
    </w:pPr>
    <w:rPr>
      <w:rFonts w:ascii="Arial" w:hAnsi="Arial" w:eastAsia="仿宋"/>
      <w:sz w:val="32"/>
    </w:rPr>
  </w:style>
  <w:style w:type="paragraph" w:styleId="6">
    <w:name w:val="Balloon Text"/>
    <w:basedOn w:val="1"/>
    <w:qFormat/>
    <w:uiPriority w:val="0"/>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无间隔1"/>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d83c0d33-ea19-41b8-baad-65fddffde5f4</errorID>
      <errorWord>（</errorWord>
      <group>L1_Punc</group>
      <groupName>标点问题</groupName>
      <ability>L2_Punc_CN</ability>
      <abilityName>标点符号问题</abilityName>
      <candidateList>
        <item/>
      </candidateList>
      <explain/>
      <paraID>300C2A3D</paraID>
      <start>18</start>
      <end>19</end>
      <status>unmodified</status>
      <modifiedWord/>
      <trackRevisions>false</trackRevisions>
    </reviewItem>
    <reviewItem>
      <errorID>c7966ca5-81ba-4786-8010-e259f3c2b239</errorID>
      <errorWord>）</errorWord>
      <group>L1_Punc</group>
      <groupName>标点问题</groupName>
      <ability>L2_Punc_CN</ability>
      <abilityName>标点符号问题</abilityName>
      <candidateList>
        <item/>
      </candidateList>
      <explain/>
      <paraID>300C2A3D</paraID>
      <start>21</start>
      <end>22</end>
      <status>unmodified</status>
      <modifiedWord/>
      <trackRevisions>false</trackRevisions>
    </reviewItem>
    <reviewItem>
      <errorID>7d600314-ecf7-4495-89fe-43d9bac87b84</errorID>
      <errorWord>(</errorWord>
      <group>L1_Format</group>
      <groupName>格式问题</groupName>
      <ability>L2_HalfPunc_CN</ability>
      <abilityName>全半角问题</abilityName>
      <candidateList>
        <item>（</item>
      </candidateList>
      <explain>文本全半角错误。</explain>
      <paraID> 4384000</paraID>
      <start>2</start>
      <end>3</end>
      <status>unmodified</status>
      <modifiedWord/>
      <trackRevisions>false</trackRevisions>
    </reviewItem>
    <reviewItem>
      <errorID>6c3f149b-325d-4d4d-8c90-a7c8111d502e</errorID>
      <errorWord>)</errorWord>
      <group>L1_Format</group>
      <groupName>格式问题</groupName>
      <ability>L2_HalfPunc_CN</ability>
      <abilityName>全半角问题</abilityName>
      <candidateList>
        <item>）</item>
      </candidateList>
      <explain>文本全半角错误。</explain>
      <paraID> 4384000</paraID>
      <start>4</start>
      <end>5</end>
      <status>unmodified</status>
      <modifiedWord/>
      <trackRevisions>false</trackRevisions>
    </reviewItem>
    <reviewItem>
      <errorID>f834db87-8352-4a03-a2da-ed99eec8ffb3</errorID>
      <errorWord>：</errorWord>
      <group>L1_Punc</group>
      <groupName>标点问题</groupName>
      <ability>L2_Punc_CN</ability>
      <abilityName>标点符号问题</abilityName>
      <candidateList>
        <item/>
      </candidateList>
      <explain/>
      <paraID>12E3F60B</paraID>
      <start>8</start>
      <end>9</end>
      <status>unmodified</status>
      <modifiedWord/>
      <trackRevisions>false</trackRevisions>
    </reviewItem>
    <reviewItem>
      <errorID>0dd884ef-2762-4b8f-96ec-5f9df2a55da5</errorID>
      <errorWord>：</errorWord>
      <group>L1_Punc</group>
      <groupName>标点问题</groupName>
      <ability>L2_Punc_CN</ability>
      <abilityName>标点符号问题</abilityName>
      <candidateList>
        <item/>
      </candidateList>
      <explain/>
      <paraID>22038274</paraID>
      <start>13</start>
      <end>14</end>
      <status>unmodified</status>
      <modifiedWord/>
      <trackRevisions>false</trackRevisions>
    </reviewItem>
    <reviewItem>
      <errorID>01153e9e-1b36-4868-a61f-cc2071392942</errorID>
      <errorWord>(</errorWord>
      <group>L1_Format</group>
      <groupName>格式问题</groupName>
      <ability>L2_HalfPunc_CN</ability>
      <abilityName>全半角问题</abilityName>
      <candidateList>
        <item>（</item>
      </candidateList>
      <explain>文本全半角错误。</explain>
      <paraID>1585C2ED</paraID>
      <start>54</start>
      <end>55</end>
      <status>unmodified</status>
      <modifiedWord/>
      <trackRevisions>false</trackRevisions>
    </reviewItem>
    <reviewItem>
      <errorID>a46e8ebc-d6cd-4aec-8365-6721387f3835</errorID>
      <errorWord>)</errorWord>
      <group>L1_Format</group>
      <groupName>格式问题</groupName>
      <ability>L2_HalfPunc_CN</ability>
      <abilityName>全半角问题</abilityName>
      <candidateList>
        <item>）</item>
      </candidateList>
      <explain>文本全半角错误。</explain>
      <paraID>1585C2ED</paraID>
      <start>57</start>
      <end>58</end>
      <status>unmodified</status>
      <modifiedWord/>
      <trackRevisions>false</trackRevisions>
    </reviewItem>
    <reviewItem>
      <errorID>50843273-b2a2-4c7f-a021-49015ed0003f</errorID>
      <errorWord>万元（人民币）</errorWord>
      <group>L1_Grammar</group>
      <groupName>语法问题</groupName>
      <ability>L2_Grammar</ability>
      <abilityName>语法错误</abilityName>
      <candidateList>
        <item>万元</item>
      </candidateList>
      <explain/>
      <paraID>13916819</paraID>
      <start>18</start>
      <end>25</end>
      <status>unmodified</status>
      <modifiedWord/>
      <trackRevisions>false</trackRevisions>
    </reviewItem>
    <reviewItem>
      <errorID>f878831b-94f2-444a-be4a-9ff5df539ab4</errorID>
      <errorWord>(</errorWord>
      <group>L1_Format</group>
      <groupName>格式问题</groupName>
      <ability>L2_HalfPunc_CN</ability>
      <abilityName>全半角问题</abilityName>
      <candidateList>
        <item>（</item>
      </candidateList>
      <explain>文本全半角错误。</explain>
      <paraID>5266E188</paraID>
      <start>109</start>
      <end>110</end>
      <status>unmodified</status>
      <modifiedWord/>
      <trackRevisions>false</trackRevisions>
    </reviewItem>
    <reviewItem>
      <errorID>108556b0-3d68-418f-871c-76e6f7c18c47</errorID>
      <errorWord>)</errorWord>
      <group>L1_Format</group>
      <groupName>格式问题</groupName>
      <ability>L2_HalfPunc_CN</ability>
      <abilityName>全半角问题</abilityName>
      <candidateList>
        <item>）</item>
      </candidateList>
      <explain>文本全半角错误。</explain>
      <paraID>5266E188</paraID>
      <start>111</start>
      <end>112</end>
      <status>unmodified</status>
      <modifiedWord/>
      <trackRevisions>false</trackRevisions>
    </reviewItem>
    <reviewItem>
      <errorID>c931fccd-b76c-407c-a0be-1b55fa60e4d3</errorID>
      <errorWord>(</errorWord>
      <group>L1_Format</group>
      <groupName>格式问题</groupName>
      <ability>L2_HalfPunc_CN</ability>
      <abilityName>全半角问题</abilityName>
      <candidateList>
        <item>（</item>
      </candidateList>
      <explain>文本全半角错误。</explain>
      <paraID> E9CF04B</paraID>
      <start>113</start>
      <end>114</end>
      <status>unmodified</status>
      <modifiedWord/>
      <trackRevisions>false</trackRevisions>
    </reviewItem>
    <reviewItem>
      <errorID>b2c73656-ca9d-461a-acff-60ba68fd1809</errorID>
      <errorWord>)</errorWord>
      <group>L1_Format</group>
      <groupName>格式问题</groupName>
      <ability>L2_HalfPunc_CN</ability>
      <abilityName>全半角问题</abilityName>
      <candidateList>
        <item>）</item>
      </candidateList>
      <explain>文本全半角错误。</explain>
      <paraID> E9CF04B</paraID>
      <start>116</start>
      <end>117</end>
      <status>unmodified</status>
      <modifiedWord/>
      <trackRevisions>false</trackRevisions>
    </reviewItem>
    <reviewItem>
      <errorID>ca20c542-fe94-43b2-b150-0706fb14eeba</errorID>
      <errorWord>(</errorWord>
      <group>L1_Format</group>
      <groupName>格式问题</groupName>
      <ability>L2_HalfPunc_CN</ability>
      <abilityName>全半角问题</abilityName>
      <candidateList>
        <item>（</item>
      </candidateList>
      <explain>文本全半角错误。</explain>
      <paraID>18A547EF</paraID>
      <start>71</start>
      <end>72</end>
      <status>unmodified</status>
      <modifiedWord/>
      <trackRevisions>false</trackRevisions>
    </reviewItem>
    <reviewItem>
      <errorID>bc80f996-aadd-41d0-a1b9-d9fdd65d731f</errorID>
      <errorWord>)</errorWord>
      <group>L1_Format</group>
      <groupName>格式问题</groupName>
      <ability>L2_HalfPunc_CN</ability>
      <abilityName>全半角问题</abilityName>
      <candidateList>
        <item>）</item>
      </candidateList>
      <explain>文本全半角错误。</explain>
      <paraID>18A547EF</paraID>
      <start>73</start>
      <end>74</end>
      <status>unmodified</status>
      <modifiedWord/>
      <trackRevisions>false</trackRevisions>
    </reviewItem>
    <reviewItem>
      <errorID>487d8b76-ec6c-44eb-933e-e3cddbea2e3c</errorID>
      <errorWord>(</errorWord>
      <group>L1_Format</group>
      <groupName>格式问题</groupName>
      <ability>L2_HalfPunc_CN</ability>
      <abilityName>全半角问题</abilityName>
      <candidateList>
        <item>（</item>
      </candidateList>
      <explain>文本全半角错误。</explain>
      <paraID>5CCBCEDC</paraID>
      <start>174</start>
      <end>175</end>
      <status>unmodified</status>
      <modifiedWord/>
      <trackRevisions>false</trackRevisions>
    </reviewItem>
    <reviewItem>
      <errorID>d38febf0-d608-4481-b2c7-12d9a461ae22</errorID>
      <errorWord>)</errorWord>
      <group>L1_Format</group>
      <groupName>格式问题</groupName>
      <ability>L2_HalfPunc_CN</ability>
      <abilityName>全半角问题</abilityName>
      <candidateList>
        <item>）</item>
      </candidateList>
      <explain>文本全半角错误。</explain>
      <paraID>5CCBCEDC</paraID>
      <start>176</start>
      <end>177</end>
      <status>unmodified</status>
      <modifiedWord/>
      <trackRevisions>false</trackRevisions>
    </reviewItem>
    <reviewItem>
      <errorID>5524031a-0e53-4e0c-9a6a-7c442b41ddfc</errorID>
      <errorWord>(</errorWord>
      <group>L1_Format</group>
      <groupName>格式问题</groupName>
      <ability>L2_HalfPunc_CN</ability>
      <abilityName>全半角问题</abilityName>
      <candidateList>
        <item>（</item>
      </candidateList>
      <explain>文本全半角错误。</explain>
      <paraID>68F00997</paraID>
      <start>177</start>
      <end>178</end>
      <status>unmodified</status>
      <modifiedWord/>
      <trackRevisions>false</trackRevisions>
    </reviewItem>
    <reviewItem>
      <errorID>28c7bf29-f5fc-4636-a2b7-cf3a91820553</errorID>
      <errorWord>)</errorWord>
      <group>L1_Format</group>
      <groupName>格式问题</groupName>
      <ability>L2_HalfPunc_CN</ability>
      <abilityName>全半角问题</abilityName>
      <candidateList>
        <item>）</item>
      </candidateList>
      <explain>文本全半角错误。</explain>
      <paraID>68F00997</paraID>
      <start>179</start>
      <end>180</end>
      <status>unmodified</status>
      <modifiedWord/>
      <trackRevisions>false</trackRevisions>
    </reviewItem>
    <reviewItem>
      <errorID>d34247b6-9cac-4142-abff-184100133fb8</errorID>
      <errorWord>(</errorWord>
      <group>L1_Format</group>
      <groupName>格式问题</groupName>
      <ability>L2_HalfPunc_CN</ability>
      <abilityName>全半角问题</abilityName>
      <candidateList>
        <item>（</item>
      </candidateList>
      <explain>文本全半角错误。</explain>
      <paraID>537D42DB</paraID>
      <start>405</start>
      <end>406</end>
      <status>unmodified</status>
      <modifiedWord/>
      <trackRevisions>false</trackRevisions>
    </reviewItem>
    <reviewItem>
      <errorID>f35007a0-f0f4-4be2-ab84-1bc9d3522306</errorID>
      <errorWord>)</errorWord>
      <group>L1_Format</group>
      <groupName>格式问题</groupName>
      <ability>L2_HalfPunc_CN</ability>
      <abilityName>全半角问题</abilityName>
      <candidateList>
        <item>）</item>
      </candidateList>
      <explain>文本全半角错误。</explain>
      <paraID>537D42DB</paraID>
      <start>407</start>
      <end>408</end>
      <status>unmodified</status>
      <modifiedWord/>
      <trackRevisions>false</trackRevisions>
    </reviewItem>
    <reviewItem>
      <errorID>9f30e237-1345-4b6c-b775-415d71390556</errorID>
      <errorWord>(</errorWord>
      <group>L1_Format</group>
      <groupName>格式问题</groupName>
      <ability>L2_HalfPunc_CN</ability>
      <abilityName>全半角问题</abilityName>
      <candidateList>
        <item>（</item>
      </candidateList>
      <explain>文本全半角错误。</explain>
      <paraID>537D42DB</paraID>
      <start>411</start>
      <end>412</end>
      <status>unmodified</status>
      <modifiedWord/>
      <trackRevisions>false</trackRevisions>
    </reviewItem>
    <reviewItem>
      <errorID>9f5c1475-14be-4613-8205-aec575754cae</errorID>
      <errorWord>)</errorWord>
      <group>L1_Format</group>
      <groupName>格式问题</groupName>
      <ability>L2_HalfPunc_CN</ability>
      <abilityName>全半角问题</abilityName>
      <candidateList>
        <item>）</item>
      </candidateList>
      <explain>文本全半角错误。</explain>
      <paraID>537D42DB</paraID>
      <start>414</start>
      <end>415</end>
      <status>unmodified</status>
      <modifiedWord/>
      <trackRevisions>false</trackRevisions>
    </reviewItem>
    <reviewItem>
      <errorID>7dd80931-7818-4b2c-8e3d-b65dd254174d</errorID>
      <errorWord>最终</errorWord>
      <group>L1_Word</group>
      <groupName>字词问题</groupName>
      <ability>L2_Typo</ability>
      <abilityName>字词错误</abilityName>
      <candidateList>
        <item>的最终</item>
      </candidateList>
      <explain/>
      <paraID>196AA733</paraID>
      <start>189</start>
      <end>191</end>
      <status>unmodified</status>
      <modifiedWord/>
      <trackRevisions>false</trackRevisions>
    </reviewItem>
  </reviewItems>
  <config/>
</contractReview>
</file>

<file path=customXml/itemProps1.xml><?xml version="1.0" encoding="utf-8"?>
<ds:datastoreItem xmlns:ds="http://schemas.openxmlformats.org/officeDocument/2006/customXml" ds:itemID="{41798f66-cef6-4216-a0a9-cf3cd9b54e2b}">
  <ds:schemaRefs/>
</ds:datastoreItem>
</file>

<file path=docProps/app.xml><?xml version="1.0" encoding="utf-8"?>
<Properties xmlns="http://schemas.openxmlformats.org/officeDocument/2006/extended-properties" xmlns:vt="http://schemas.openxmlformats.org/officeDocument/2006/docPropsVTypes">
  <Template>Normal.dotm</Template>
  <Pages>4</Pages>
  <Words>988</Words>
  <Characters>1084</Characters>
  <Lines>0</Lines>
  <Paragraphs>0</Paragraphs>
  <TotalTime>7</TotalTime>
  <ScaleCrop>false</ScaleCrop>
  <LinksUpToDate>false</LinksUpToDate>
  <CharactersWithSpaces>1087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2025-06-17T07:56:00Z</dcterms:created>
  <dc:creator>子乐</dc:creator>
  <cp:lastModifiedBy>L</cp:lastModifiedBy>
  <dcterms:modified xsi:type="dcterms:W3CDTF">2026-10-20T03:45:17Z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E9DBE3D8554D4E6E990C5724F6AA41D2_13</vt:lpwstr>
  </property>
  <property fmtid="{D5CDD505-2E9C-101B-9397-08002B2CF9AE}" pid="4" name="KSOTemplateDocerSaveRecord">
    <vt:lpwstr>eyJoZGlkIjoiZTEzZTQyYTIzZTVhN2UwNWE1OTRlYjIyODBlMmEwYTIiLCJ1c2VySWQiOiIyMDgwMDM0NDYifQ==</vt:lpwstr>
  </property>
</Properties>
</file>