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568BCA">
      <w:pPr>
        <w:pStyle w:val="7"/>
        <w:spacing w:before="0" w:beforeAutospacing="0" w:after="0" w:afterAutospacing="0"/>
        <w:jc w:val="center"/>
        <w:rPr>
          <w:rFonts w:hint="default" w:ascii="华文中宋" w:hAnsi="华文中宋" w:eastAsia="华文中宋"/>
          <w:b/>
          <w:color w:val="FF0000"/>
          <w:sz w:val="72"/>
          <w:szCs w:val="72"/>
        </w:rPr>
      </w:pPr>
      <w:r>
        <w:rPr>
          <w:rFonts w:ascii="华文中宋" w:hAnsi="华文中宋" w:eastAsia="华文中宋"/>
          <w:b/>
          <w:color w:val="FF0000"/>
          <w:spacing w:val="40"/>
          <w:w w:val="80"/>
          <w:sz w:val="72"/>
          <w:szCs w:val="72"/>
        </w:rPr>
        <w:t>福州职业技术</w:t>
      </w:r>
      <w:r>
        <w:rPr>
          <w:rFonts w:hint="eastAsia" w:ascii="华文中宋" w:hAnsi="华文中宋" w:eastAsia="华文中宋"/>
          <w:b/>
          <w:color w:val="FF0000"/>
          <w:spacing w:val="40"/>
          <w:w w:val="80"/>
          <w:sz w:val="72"/>
          <w:szCs w:val="72"/>
          <w:lang w:val="en-US" w:eastAsia="zh-CN"/>
        </w:rPr>
        <w:t>大</w:t>
      </w:r>
      <w:r>
        <w:rPr>
          <w:rFonts w:ascii="华文中宋" w:hAnsi="华文中宋" w:eastAsia="华文中宋"/>
          <w:b/>
          <w:color w:val="FF0000"/>
          <w:spacing w:val="40"/>
          <w:w w:val="80"/>
          <w:sz w:val="72"/>
          <w:szCs w:val="72"/>
        </w:rPr>
        <w:t>学</w:t>
      </w:r>
      <w:r>
        <w:rPr>
          <w:rFonts w:hint="eastAsia" w:ascii="华文中宋" w:hAnsi="华文中宋" w:eastAsia="华文中宋"/>
          <w:b/>
          <w:color w:val="FF0000"/>
          <w:spacing w:val="40"/>
          <w:w w:val="80"/>
          <w:sz w:val="72"/>
          <w:szCs w:val="72"/>
          <w:lang w:eastAsia="zh-CN"/>
        </w:rPr>
        <w:t>（</w:t>
      </w:r>
      <w:r>
        <w:rPr>
          <w:b/>
          <w:sz w:val="22"/>
          <w:szCs w:val="28"/>
        </w:rPr>
        <w:t>实验实训中心</w:t>
      </w:r>
      <w:r>
        <w:rPr>
          <w:rFonts w:hint="eastAsia" w:ascii="华文中宋" w:hAnsi="华文中宋" w:eastAsia="华文中宋"/>
          <w:b/>
          <w:color w:val="FF0000"/>
          <w:spacing w:val="40"/>
          <w:w w:val="80"/>
          <w:sz w:val="72"/>
          <w:szCs w:val="72"/>
          <w:lang w:eastAsia="zh-CN"/>
        </w:rPr>
        <w:t>）</w:t>
      </w:r>
    </w:p>
    <w:p w14:paraId="721F938B">
      <w:pPr>
        <w:pStyle w:val="7"/>
        <w:spacing w:line="480" w:lineRule="exact"/>
        <w:jc w:val="center"/>
        <w:rPr>
          <w:rFonts w:hint="default" w:ascii="仿宋_GB2312" w:eastAsia="仿宋_GB2312"/>
          <w:sz w:val="28"/>
          <w:szCs w:val="28"/>
        </w:rPr>
      </w:pPr>
      <w:bookmarkStart w:id="0" w:name="_GoBack"/>
      <w:r>
        <w:rPr>
          <w:rFonts w:hint="default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528955</wp:posOffset>
                </wp:positionV>
                <wp:extent cx="5600700" cy="1905"/>
                <wp:effectExtent l="0" t="13970" r="0" b="2222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190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41.65pt;height:0.15pt;width:441pt;z-index:251659264;mso-width-relative:page;mso-height-relative:page;" filled="f" stroked="t" coordsize="21600,21600" o:gfxdata="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My/&#10;KJzUAAAABgEAAA8AAAAAAAAAAQAgAAAAIgAAAGRycy9kb3ducmV2LnhtbFBLAQIUABQAAAAIAIdO&#10;4kAKRRqC7gEAALwDAAAOAAAAAAAAAAEAIAAAACMBAABkcnMvZTJvRG9jLnhtbFBLBQYAAAAABgAG&#10;AFkBAACDBQAAAAA=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sz w:val="28"/>
          <w:szCs w:val="28"/>
        </w:rPr>
        <w:t>榕职院实训〔202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6</w:t>
      </w:r>
      <w:r>
        <w:rPr>
          <w:rFonts w:ascii="仿宋_GB2312" w:eastAsia="仿宋_GB2312"/>
          <w:sz w:val="28"/>
          <w:szCs w:val="28"/>
        </w:rPr>
        <w:t>〕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8</w:t>
      </w:r>
      <w:r>
        <w:rPr>
          <w:rFonts w:ascii="仿宋_GB2312" w:eastAsia="仿宋_GB2312"/>
          <w:sz w:val="28"/>
          <w:szCs w:val="28"/>
        </w:rPr>
        <w:t>号</w:t>
      </w:r>
    </w:p>
    <w:bookmarkEnd w:id="0"/>
    <w:p w14:paraId="4BBC8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center"/>
        <w:textAlignment w:val="auto"/>
        <w:rPr>
          <w:rFonts w:hint="eastAsia" w:ascii="方正小标宋简体" w:hAnsi="方正小标宋简体" w:eastAsia="方正小标宋简体" w:cs="Times New Roman"/>
          <w:b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Times New Roman"/>
          <w:b/>
          <w:bCs/>
          <w:sz w:val="36"/>
          <w:szCs w:val="36"/>
        </w:rPr>
        <w:t>关于组建7个重点产业校企合作工作专班的通知</w:t>
      </w:r>
    </w:p>
    <w:p w14:paraId="4C0773E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Times New Roman"/>
          <w:sz w:val="30"/>
          <w:szCs w:val="30"/>
        </w:rPr>
      </w:pPr>
      <w:r>
        <w:rPr>
          <w:rFonts w:hint="eastAsia" w:ascii="仿宋_GB2312" w:hAnsi="仿宋_GB2312" w:eastAsia="仿宋_GB2312" w:cs="Times New Roman"/>
          <w:sz w:val="30"/>
          <w:szCs w:val="30"/>
        </w:rPr>
        <w:t xml:space="preserve">各二级学院： </w:t>
      </w:r>
    </w:p>
    <w:p w14:paraId="73BB46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 xml:space="preserve">为深入贯彻落实国家、省、市关于深化现代职业教育体系建设改革的部署要求，紧扣学校“服务‘福’产业”突破行动专项行动任务安排，主动对接福州市产业发展需求，围绕数字智能、新能源汽车、智能制造、光电产业、现代商贸服务、文旅服务、绿色建筑等重点产业，进一步深化政校企协同育人机制，在我校现有“一园区一专班、一企业一专员”校企合作工作体系基础上，经研究，决定新组建或优化调整7个重点产业校企合作工作专班。现将有关事项通知如下： </w:t>
      </w:r>
    </w:p>
    <w:p w14:paraId="097E41D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一、总体工作目标 </w:t>
      </w:r>
    </w:p>
    <w:p w14:paraId="6D3ED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>以服务福州地方重点产业高质量发展为核心，按产业集群统筹全校校企合作资源，推动专业群与重点产业链深度适配，搭建常态化政校企沟通合作平台，在学生实习就业、人才联合培养、技术服务、职工技能培训等方面形成深度合作格局，全面提升学校服务地方产业发展的能力与校地融合水平，形成政校企良性互动的发展生态。</w:t>
      </w:r>
    </w:p>
    <w:p w14:paraId="565C48B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二、专班设置及职责分工 </w:t>
      </w:r>
    </w:p>
    <w:p w14:paraId="1206DD5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 xml:space="preserve">（一）专班组建原则 </w:t>
      </w:r>
    </w:p>
    <w:p w14:paraId="195FD8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>按照“一学院牵头一产业、专业群对接产业链”的原则，结合我校7个二级学院（特殊教育学院除外）的专业布局与福州市重点产业定位，对应组建7个产业校企合作工作专班，实现重点产业全覆盖、专业群精准对接。各专班实行牵头学院院长负责制，统筹学院骨干教师组成工作团队，专项推进对应产业领域的校企合作工作。</w:t>
      </w:r>
    </w:p>
    <w:p w14:paraId="617CBF5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 xml:space="preserve">（二）专班具体设置 </w:t>
      </w:r>
    </w:p>
    <w:p w14:paraId="678312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 xml:space="preserve">1.新能源汽车产业专班 </w:t>
      </w:r>
    </w:p>
    <w:p w14:paraId="79335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 xml:space="preserve">牵头学院：交通工程学院 </w:t>
      </w:r>
    </w:p>
    <w:p w14:paraId="3E816C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 xml:space="preserve">对接产业方向：新能源汽车整车制造、汽车核心零部件、智能网联汽车、汽车后市场服务 </w:t>
      </w:r>
    </w:p>
    <w:p w14:paraId="798E34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 xml:space="preserve">重点对接区域及园区：闽侯县青口汽车工业园区 </w:t>
      </w:r>
    </w:p>
    <w:p w14:paraId="2510FC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 xml:space="preserve">2.光电信息及智能制造产业专班 </w:t>
      </w:r>
    </w:p>
    <w:p w14:paraId="192AF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 xml:space="preserve">牵头学院：机电工程学院 </w:t>
      </w:r>
    </w:p>
    <w:p w14:paraId="00B3F4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>对接产业方向：光电信息、集成电路、高端装备制造、工业自动化、精密机械加工</w:t>
      </w:r>
    </w:p>
    <w:p w14:paraId="6753DC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 xml:space="preserve">重点对接区域及园区：晋安区福兴经济开发区、福清市融侨经济技术开发区、闽侯县经济开发区 </w:t>
      </w:r>
    </w:p>
    <w:p w14:paraId="389EF7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 xml:space="preserve">3.新一代信息技术产业专班 </w:t>
      </w:r>
    </w:p>
    <w:p w14:paraId="0190A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 xml:space="preserve">牵头学院：信息工程学院 </w:t>
      </w:r>
    </w:p>
    <w:p w14:paraId="760D5E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>对接产业方向：网络基础设施、物联网应用、人工智能</w:t>
      </w:r>
    </w:p>
    <w:p w14:paraId="79A8C7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>重点对接区域及园区：马尾区福州经济技术开发区、闽侯县福州高新技术产业开发区、鼓楼区软件园</w:t>
      </w:r>
    </w:p>
    <w:p w14:paraId="688BA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 xml:space="preserve">4.低空经济产业专班 </w:t>
      </w:r>
    </w:p>
    <w:p w14:paraId="2F47A2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 xml:space="preserve">牵头学院：智能工程学院 </w:t>
      </w:r>
    </w:p>
    <w:p w14:paraId="115B68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>对接产业方向：低空经济、新型显示</w:t>
      </w:r>
    </w:p>
    <w:p w14:paraId="67AFE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>重点对接区域及园区：闽侯县福州高新技术产业开发区、仓山区金山工业园区、福清融侨经济技术开发区</w:t>
      </w:r>
    </w:p>
    <w:p w14:paraId="5D749B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 xml:space="preserve">5.物流与供应链平台经济产业专班 </w:t>
      </w:r>
    </w:p>
    <w:p w14:paraId="45C411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 xml:space="preserve">牵头学院：商学院 </w:t>
      </w:r>
    </w:p>
    <w:p w14:paraId="4AC05E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 xml:space="preserve">对接产业方向：现代物流、电子商务、供应链服务、金融服务 </w:t>
      </w:r>
    </w:p>
    <w:p w14:paraId="74ABCD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 xml:space="preserve">重点对接区域及园区：晋安区福州福兴经济开发区、福清市江阴经济开发区、罗源县福州台商投资区 </w:t>
      </w:r>
    </w:p>
    <w:p w14:paraId="0F71D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 xml:space="preserve">6.文创旅游产业专班 </w:t>
      </w:r>
    </w:p>
    <w:p w14:paraId="55DF0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 xml:space="preserve">牵头学院：文化旅游学院 </w:t>
      </w:r>
    </w:p>
    <w:p w14:paraId="3B3CD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 xml:space="preserve">对接产业方向：文旅融合发展、高星级酒店业、数字文创产业、会展服务 </w:t>
      </w:r>
    </w:p>
    <w:p w14:paraId="196682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>重点对接区域及园区：马尾区船政文化园区、仓山区大榕树文化创意园、闽侯县福州高新技术产业开发区</w:t>
      </w:r>
    </w:p>
    <w:p w14:paraId="196D92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 xml:space="preserve">7.绿色建筑产业专班 </w:t>
      </w:r>
    </w:p>
    <w:p w14:paraId="530769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 xml:space="preserve">牵头学院：建筑工程学院 </w:t>
      </w:r>
    </w:p>
    <w:p w14:paraId="181E88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 xml:space="preserve">对接产业方向：绿色建筑技术、节能环保应用、新型建材研发、智慧城市建设 </w:t>
      </w:r>
    </w:p>
    <w:p w14:paraId="2FF80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>重点对接区域及园区：闽侯县福州高新技术产业开发区、闽侯县经济开发区</w:t>
      </w:r>
    </w:p>
    <w:p w14:paraId="7638514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 xml:space="preserve">（三）主要工作职责 </w:t>
      </w:r>
    </w:p>
    <w:p w14:paraId="238CC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 xml:space="preserve">1.产业调研与需求对接。主动对接对应产业的政府主管部门、产业园区管委会及重点企业，定期开展产业人才需求调研，精准掌握岗位需求、技能标准与合作意向，形成动态更新的产业需求清单。 </w:t>
      </w:r>
    </w:p>
    <w:p w14:paraId="73463C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 xml:space="preserve">2.校企合作项目推进。围绕对应产业领域，推进学生实习就业、订单班培养、职工技能培训、技术攻关与社会服务等各类合作项目落地。 </w:t>
      </w:r>
    </w:p>
    <w:p w14:paraId="127E4F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 xml:space="preserve">3.日常工作机制建设。建立常态化对接机制，专班每月至少走访1次对接园区或重点企业；建立健全校企合作工作档案，按学期分类梳理合作项目、工作成效与存在问题，形成规范工作台账。 </w:t>
      </w:r>
    </w:p>
    <w:p w14:paraId="074FCE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2"/>
          <w:szCs w:val="2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>4.资源整合与动态优化。统筹学院专业群教学与师资资源，根据产业发展趋势和企业需求变化，动态优化对接方向与合作内容；及时总结提炼典型合作案例与经验做法，打造校企合作特色品牌。</w:t>
      </w:r>
      <w:r>
        <w:rPr>
          <w:rFonts w:hint="eastAsia" w:ascii="仿宋_GB2312" w:hAnsi="仿宋_GB2312" w:eastAsia="仿宋_GB2312" w:cs="Times New Roman"/>
          <w:kern w:val="2"/>
          <w:sz w:val="32"/>
          <w:szCs w:val="20"/>
          <w:lang w:val="en-US" w:eastAsia="zh-CN" w:bidi="ar-SA"/>
        </w:rPr>
        <w:t xml:space="preserve"> </w:t>
      </w:r>
    </w:p>
    <w:p w14:paraId="6DE6AF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三、工作运行机制 </w:t>
      </w:r>
    </w:p>
    <w:p w14:paraId="5880B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2"/>
          <w:szCs w:val="20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>（一）统筹协调机制</w:t>
      </w:r>
      <w:r>
        <w:rPr>
          <w:rFonts w:hint="eastAsia" w:ascii="仿宋_GB2312" w:hAnsi="仿宋_GB2312" w:eastAsia="仿宋_GB2312" w:cs="Times New Roman"/>
          <w:kern w:val="2"/>
          <w:sz w:val="32"/>
          <w:szCs w:val="20"/>
          <w:lang w:val="en-US" w:eastAsia="zh-CN" w:bidi="ar-SA"/>
        </w:rPr>
        <w:t xml:space="preserve"> </w:t>
      </w:r>
    </w:p>
    <w:p w14:paraId="7DFD75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 xml:space="preserve">实验实训中心（产教融合办）负责全校产业专班的统筹管理、协调调度与考核评估，每半年组织召开一次专班工作推进会，通报工作进展，协调解决难点问题；每年底开展年度工作总结与成效评价，评价结果纳入学院校企合作工作考核。 </w:t>
      </w:r>
    </w:p>
    <w:p w14:paraId="6C3D74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 xml:space="preserve">（二）政校联动机制 </w:t>
      </w:r>
    </w:p>
    <w:p w14:paraId="6732B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 xml:space="preserve">各产业专班要强化“走出去、请进来”工作思路，加强与对应县（市）区工信、商务、文旅、教育、人社等主管部门及园区管委会的联动对接，主动争取政策资源与项目支持，畅通政校企三方沟通渠道，形成工作合力。 </w:t>
      </w:r>
    </w:p>
    <w:p w14:paraId="6C565A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 xml:space="preserve">（三）动态调整机制 </w:t>
      </w:r>
    </w:p>
    <w:p w14:paraId="503EF1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 xml:space="preserve">根据福州市产业布局调整和学校专业建设实际，实验实训中心（产教融合办）可会同相关二级学院，对产业专班的设置、对接方向与重点任务进行动态优化调整，确保专班工作始终贴合产业发展需求。 </w:t>
      </w:r>
    </w:p>
    <w:p w14:paraId="3A952E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四、有关工作要求 </w:t>
      </w:r>
    </w:p>
    <w:p w14:paraId="7F7168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>（一）提高思想认识</w:t>
      </w:r>
    </w:p>
    <w:p w14:paraId="7D6DBD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>组建重点产业工作专班是深化我校校企合作、服务地方产业发展的重要举措，各二级学院要高度重视，将专班工作纳入学院年度重点工作任务，强化责任落实，确保各项工作有序推进。</w:t>
      </w:r>
      <w:r>
        <w:rPr>
          <w:rFonts w:hint="eastAsia" w:ascii="仿宋_GB2312" w:hAnsi="仿宋_GB2312" w:eastAsia="仿宋_GB2312" w:cs="Times New Roman"/>
          <w:kern w:val="2"/>
          <w:sz w:val="32"/>
          <w:szCs w:val="20"/>
          <w:lang w:val="en-US" w:eastAsia="zh-CN" w:bidi="ar-SA"/>
        </w:rPr>
        <w:t xml:space="preserve"> </w:t>
      </w:r>
    </w:p>
    <w:p w14:paraId="325949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>（二）务求工作实效</w:t>
      </w:r>
    </w:p>
    <w:p w14:paraId="484A0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 xml:space="preserve">各专班要结合实际制定年度工作计划，明确工作目标、重点任务与时间节点，扎实推进各项合作任务落地见效，力戒形式主义，切实提升校企合作质量。 </w:t>
      </w:r>
    </w:p>
    <w:p w14:paraId="7B3F5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>（三）规范信息报送</w:t>
      </w:r>
    </w:p>
    <w:p w14:paraId="2B0269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 xml:space="preserve">各专班每学期末向实验实训中心报送工作进展总结与合作工作台账，重大合作项目与重要事项及时报备。 </w:t>
      </w:r>
    </w:p>
    <w:p w14:paraId="4EFC8A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0"/>
          <w:szCs w:val="30"/>
          <w:lang w:val="en-US" w:eastAsia="zh-CN" w:bidi="ar-SA"/>
        </w:rPr>
        <w:t>附件1：7个重点产业校企合作工作专班对接一览表</w:t>
      </w:r>
    </w:p>
    <w:p w14:paraId="30033B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ascii="仿宋_GB2312" w:hAnsi="宋体" w:eastAsia="仿宋_GB2312" w:cs="宋体"/>
          <w:kern w:val="0"/>
          <w:sz w:val="30"/>
          <w:szCs w:val="30"/>
        </w:rPr>
      </w:pPr>
    </w:p>
    <w:p w14:paraId="7C435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宋体" w:eastAsia="仿宋_GB2312" w:cs="宋体"/>
          <w:kern w:val="0"/>
          <w:sz w:val="30"/>
          <w:szCs w:val="30"/>
        </w:rPr>
      </w:pPr>
    </w:p>
    <w:p w14:paraId="654558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宋体" w:eastAsia="仿宋_GB2312" w:cs="宋体"/>
          <w:kern w:val="0"/>
          <w:sz w:val="30"/>
          <w:szCs w:val="30"/>
        </w:rPr>
      </w:pPr>
    </w:p>
    <w:p w14:paraId="171167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right"/>
        <w:textAlignment w:val="auto"/>
        <w:rPr>
          <w:rFonts w:ascii="仿宋_GB2312" w:hAnsi="宋体" w:eastAsia="仿宋_GB2312" w:cs="宋体"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kern w:val="0"/>
          <w:sz w:val="30"/>
          <w:szCs w:val="30"/>
        </w:rPr>
        <w:t>实验实训中心</w:t>
      </w:r>
    </w:p>
    <w:p w14:paraId="72AE18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right"/>
        <w:textAlignment w:val="auto"/>
        <w:rPr>
          <w:rFonts w:hint="eastAsia" w:ascii="仿宋_GB2312" w:hAnsi="宋体" w:eastAsia="仿宋_GB2312" w:cs="宋体"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kern w:val="0"/>
          <w:sz w:val="30"/>
          <w:szCs w:val="30"/>
        </w:rPr>
        <w:t>202</w:t>
      </w:r>
      <w:r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/>
        </w:rPr>
        <w:t>6</w:t>
      </w:r>
      <w:r>
        <w:rPr>
          <w:rFonts w:hint="eastAsia" w:ascii="仿宋_GB2312" w:hAnsi="宋体" w:eastAsia="仿宋_GB2312" w:cs="宋体"/>
          <w:kern w:val="0"/>
          <w:sz w:val="30"/>
          <w:szCs w:val="30"/>
        </w:rPr>
        <w:t>年</w:t>
      </w:r>
      <w:r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/>
        </w:rPr>
        <w:t>9</w:t>
      </w:r>
      <w:r>
        <w:rPr>
          <w:rFonts w:hint="eastAsia" w:ascii="仿宋_GB2312" w:hAnsi="宋体" w:eastAsia="仿宋_GB2312" w:cs="宋体"/>
          <w:kern w:val="0"/>
          <w:sz w:val="30"/>
          <w:szCs w:val="30"/>
        </w:rPr>
        <w:t>月</w:t>
      </w:r>
      <w:r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/>
        </w:rPr>
        <w:t>15</w:t>
      </w:r>
      <w:r>
        <w:rPr>
          <w:rFonts w:hint="eastAsia" w:ascii="仿宋_GB2312" w:hAnsi="宋体" w:eastAsia="仿宋_GB2312" w:cs="宋体"/>
          <w:kern w:val="0"/>
          <w:sz w:val="30"/>
          <w:szCs w:val="30"/>
        </w:rPr>
        <w:t>日</w:t>
      </w:r>
    </w:p>
    <w:p w14:paraId="38579BE4">
      <w:pPr>
        <w:spacing w:line="440" w:lineRule="exact"/>
        <w:ind w:firstLine="600" w:firstLineChars="200"/>
        <w:jc w:val="right"/>
        <w:rPr>
          <w:rFonts w:hint="eastAsia" w:ascii="仿宋_GB2312" w:hAnsi="宋体" w:eastAsia="仿宋_GB2312" w:cs="宋体"/>
          <w:kern w:val="0"/>
          <w:sz w:val="30"/>
          <w:szCs w:val="30"/>
        </w:rPr>
      </w:pPr>
    </w:p>
    <w:p w14:paraId="6981C9D2">
      <w:pPr>
        <w:spacing w:line="440" w:lineRule="exact"/>
        <w:ind w:firstLine="600" w:firstLineChars="200"/>
        <w:jc w:val="right"/>
        <w:rPr>
          <w:rFonts w:hint="eastAsia" w:ascii="仿宋_GB2312" w:hAnsi="宋体" w:eastAsia="仿宋_GB2312" w:cs="宋体"/>
          <w:kern w:val="0"/>
          <w:sz w:val="30"/>
          <w:szCs w:val="30"/>
        </w:rPr>
      </w:pPr>
    </w:p>
    <w:p w14:paraId="787D1029">
      <w:pPr>
        <w:spacing w:line="440" w:lineRule="exact"/>
        <w:ind w:firstLine="600" w:firstLineChars="200"/>
        <w:jc w:val="right"/>
        <w:rPr>
          <w:rFonts w:hint="eastAsia" w:ascii="仿宋_GB2312" w:hAnsi="宋体" w:eastAsia="仿宋_GB2312" w:cs="宋体"/>
          <w:kern w:val="0"/>
          <w:sz w:val="30"/>
          <w:szCs w:val="30"/>
        </w:rPr>
      </w:pPr>
    </w:p>
    <w:p w14:paraId="31B5DE9E">
      <w:pPr>
        <w:pStyle w:val="2"/>
        <w:rPr>
          <w:rFonts w:hint="eastAsia"/>
        </w:rPr>
      </w:pPr>
    </w:p>
    <w:p w14:paraId="0839480F">
      <w:pPr>
        <w:rPr>
          <w:rFonts w:hint="eastAsia"/>
        </w:rPr>
      </w:pPr>
    </w:p>
    <w:p w14:paraId="1C98C19C">
      <w:pPr>
        <w:pStyle w:val="2"/>
        <w:rPr>
          <w:rFonts w:hint="eastAsia"/>
        </w:rPr>
      </w:pPr>
    </w:p>
    <w:p w14:paraId="23EB184E">
      <w:pPr>
        <w:rPr>
          <w:rFonts w:hint="eastAsia"/>
        </w:rPr>
      </w:pPr>
    </w:p>
    <w:p w14:paraId="4EB1758C">
      <w:pPr>
        <w:spacing w:line="440" w:lineRule="exact"/>
        <w:jc w:val="both"/>
        <w:rPr>
          <w:rFonts w:hint="eastAsia" w:ascii="仿宋_GB2312" w:hAnsi="宋体" w:eastAsia="仿宋_GB2312" w:cs="宋体"/>
          <w:kern w:val="0"/>
          <w:sz w:val="30"/>
          <w:szCs w:val="30"/>
        </w:rPr>
      </w:pPr>
    </w:p>
    <w:p w14:paraId="25A78CE7">
      <w:pPr>
        <w:spacing w:line="440" w:lineRule="exact"/>
        <w:jc w:val="both"/>
        <w:rPr>
          <w:rFonts w:hint="eastAsia" w:ascii="仿宋_GB2312" w:hAnsi="宋体" w:eastAsia="仿宋_GB2312" w:cs="宋体"/>
          <w:kern w:val="0"/>
          <w:sz w:val="30"/>
          <w:szCs w:val="30"/>
        </w:rPr>
      </w:pPr>
    </w:p>
    <w:p w14:paraId="354BA0C9">
      <w:pPr>
        <w:spacing w:line="440" w:lineRule="exact"/>
        <w:jc w:val="both"/>
        <w:rPr>
          <w:rFonts w:ascii="仿宋_GB2312" w:hAnsi="宋体" w:eastAsia="仿宋_GB2312" w:cs="宋体"/>
          <w:kern w:val="0"/>
          <w:sz w:val="30"/>
          <w:szCs w:val="30"/>
        </w:rPr>
      </w:pPr>
    </w:p>
    <w:p w14:paraId="7FB1C517">
      <w:pPr>
        <w:rPr>
          <w:rFonts w:ascii="仿宋_GB2312" w:eastAsia="仿宋_GB2312"/>
          <w:snapToGrid w:val="0"/>
          <w:kern w:val="0"/>
          <w:sz w:val="28"/>
          <w:szCs w:val="28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1558" w:right="1301" w:bottom="1091" w:left="1470" w:header="851" w:footer="992" w:gutter="0"/>
          <w:cols w:space="425" w:num="1"/>
          <w:docGrid w:type="lines" w:linePitch="312" w:charSpace="0"/>
        </w:sectPr>
      </w:pPr>
      <w:r>
        <w:rPr>
          <w:rFonts w:ascii="仿宋_GB2312" w:eastAsia="仿宋_GB2312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-100330</wp:posOffset>
                </wp:positionH>
                <wp:positionV relativeFrom="paragraph">
                  <wp:posOffset>429895</wp:posOffset>
                </wp:positionV>
                <wp:extent cx="6080125" cy="0"/>
                <wp:effectExtent l="0" t="12700" r="15875" b="1587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848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7.9pt;margin-top:33.85pt;height:0pt;width:478.75pt;z-index:251661312;mso-width-relative:page;mso-height-relative:page;" filled="f" stroked="t" coordsize="21600,21600" o:gfxdata="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P4hs&#10;QNcAAAAJAQAADwAAAAAAAAABACAAAAAiAAAAZHJzL2Rvd25yZXYueG1sUEsBAhQAFAAAAAgAh07i&#10;QEfUIynqAQAAuQMAAA4AAAAAAAAAAQAgAAAAJgEAAGRycy9lMm9Eb2MueG1sUEsFBgAAAAAGAAYA&#10;WQEAAIIFAAAAAA==&#10;">
                <v:fill on="f" focussize="0,0"/>
                <v:stroke weight="2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-100330</wp:posOffset>
                </wp:positionH>
                <wp:positionV relativeFrom="paragraph">
                  <wp:posOffset>0</wp:posOffset>
                </wp:positionV>
                <wp:extent cx="6024880" cy="0"/>
                <wp:effectExtent l="0" t="12700" r="13970" b="1587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848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7.9pt;margin-top:0pt;height:0pt;width:474.4pt;z-index:251660288;mso-width-relative:page;mso-height-relative:page;" filled="f" stroked="t" coordsize="21600,21600" o:gfxdata="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Sc6hP1AAA&#10;AAUBAAAPAAAAAAAAAAEAIAAAACIAAABkcnMvZG93bnJldi54bWxQSwECFAAUAAAACACHTuJAg+nS&#10;FukBAAC5AwAADgAAAAAAAAABACAAAAAjAQAAZHJzL2Uyb0RvYy54bWxQSwUGAAAAAAYABgBZAQAA&#10;fgUAAAAA&#10;">
                <v:fill on="f" focussize="0,0"/>
                <v:stroke weight="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napToGrid w:val="0"/>
          <w:kern w:val="0"/>
          <w:sz w:val="28"/>
          <w:szCs w:val="28"/>
        </w:rPr>
        <w:t xml:space="preserve">福州职业技术学院实验实训中心                 </w:t>
      </w:r>
      <w:r>
        <w:rPr>
          <w:rFonts w:hint="eastAsia" w:ascii="仿宋_GB2312" w:hAnsi="宋体" w:eastAsia="仿宋_GB2312" w:cs="宋体"/>
          <w:kern w:val="0"/>
          <w:sz w:val="30"/>
          <w:szCs w:val="30"/>
        </w:rPr>
        <w:t>202</w:t>
      </w:r>
      <w:r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/>
        </w:rPr>
        <w:t>6</w:t>
      </w:r>
      <w:r>
        <w:rPr>
          <w:rFonts w:hint="eastAsia" w:ascii="仿宋_GB2312" w:hAnsi="宋体" w:eastAsia="仿宋_GB2312" w:cs="宋体"/>
          <w:kern w:val="0"/>
          <w:sz w:val="30"/>
          <w:szCs w:val="30"/>
        </w:rPr>
        <w:t>年</w:t>
      </w:r>
      <w:r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/>
        </w:rPr>
        <w:t>9</w:t>
      </w:r>
      <w:r>
        <w:rPr>
          <w:rFonts w:hint="eastAsia" w:ascii="仿宋_GB2312" w:hAnsi="宋体" w:eastAsia="仿宋_GB2312" w:cs="宋体"/>
          <w:kern w:val="0"/>
          <w:sz w:val="30"/>
          <w:szCs w:val="30"/>
        </w:rPr>
        <w:t>月</w:t>
      </w:r>
      <w:r>
        <w:rPr>
          <w:rFonts w:hint="eastAsia" w:ascii="仿宋_GB2312" w:hAnsi="宋体" w:eastAsia="仿宋_GB2312" w:cs="宋体"/>
          <w:kern w:val="0"/>
          <w:sz w:val="30"/>
          <w:szCs w:val="30"/>
          <w:lang w:val="en-US" w:eastAsia="zh-CN"/>
        </w:rPr>
        <w:t>15</w:t>
      </w:r>
      <w:r>
        <w:rPr>
          <w:rFonts w:hint="eastAsia" w:ascii="仿宋_GB2312" w:hAnsi="宋体" w:eastAsia="仿宋_GB2312" w:cs="宋体"/>
          <w:kern w:val="0"/>
          <w:sz w:val="30"/>
          <w:szCs w:val="30"/>
        </w:rPr>
        <w:t>日</w:t>
      </w:r>
      <w:r>
        <w:rPr>
          <w:rFonts w:hint="eastAsia" w:ascii="仿宋_GB2312" w:eastAsia="仿宋_GB2312"/>
          <w:snapToGrid w:val="0"/>
          <w:kern w:val="0"/>
          <w:sz w:val="28"/>
          <w:szCs w:val="28"/>
        </w:rPr>
        <w:t>印发</w:t>
      </w:r>
    </w:p>
    <w:p w14:paraId="7030C48C">
      <w:pPr>
        <w:pStyle w:val="2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 w14:paraId="201D26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Times New Roman"/>
          <w:kern w:val="2"/>
          <w:sz w:val="32"/>
          <w:szCs w:val="20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0"/>
          <w:lang w:val="en-US" w:eastAsia="zh-CN" w:bidi="ar-SA"/>
        </w:rPr>
        <w:t>7个重点产业校企合作工作专班对接一览表</w:t>
      </w:r>
    </w:p>
    <w:tbl>
      <w:tblPr>
        <w:tblStyle w:val="8"/>
        <w:tblW w:w="13797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"/>
        <w:gridCol w:w="1775"/>
        <w:gridCol w:w="2354"/>
        <w:gridCol w:w="4596"/>
        <w:gridCol w:w="4119"/>
      </w:tblGrid>
      <w:tr w14:paraId="0BCB5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FB2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DF7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专班名称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AEB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牵头二级学院</w:t>
            </w:r>
          </w:p>
        </w:tc>
        <w:tc>
          <w:tcPr>
            <w:tcW w:w="4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B1C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对接重点产业</w:t>
            </w:r>
          </w:p>
        </w:tc>
        <w:tc>
          <w:tcPr>
            <w:tcW w:w="4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2FD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重点对接县区及园区</w:t>
            </w:r>
          </w:p>
        </w:tc>
      </w:tr>
      <w:tr w14:paraId="1D069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E23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A20967"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新能源汽车</w:t>
            </w:r>
          </w:p>
          <w:p w14:paraId="28210C0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产业专班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2C0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交通工程学院</w:t>
            </w:r>
          </w:p>
        </w:tc>
        <w:tc>
          <w:tcPr>
            <w:tcW w:w="4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7DAFA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新能源汽车整车制造、汽车核心零部件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制造、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汽车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售后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市场服务</w:t>
            </w:r>
          </w:p>
        </w:tc>
        <w:tc>
          <w:tcPr>
            <w:tcW w:w="4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91C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闽侯县青口汽车工业园区</w:t>
            </w:r>
          </w:p>
        </w:tc>
      </w:tr>
      <w:tr w14:paraId="23811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6E6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EBE14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光电信息及智能制造产业专班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E87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4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B135B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光电信息、集成电路、高端装备制造、工业自动化、精密机械加工</w:t>
            </w:r>
          </w:p>
        </w:tc>
        <w:tc>
          <w:tcPr>
            <w:tcW w:w="4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5F9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闽侯经济开发区、</w:t>
            </w:r>
          </w:p>
          <w:p w14:paraId="107C4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福清融侨经济技术开发开区</w:t>
            </w:r>
          </w:p>
        </w:tc>
      </w:tr>
      <w:tr w14:paraId="10080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EB4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8645E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新一代信息技术产业专班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97B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4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BAEDC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网络基础设施、物联网应用、人工智能</w:t>
            </w:r>
          </w:p>
        </w:tc>
        <w:tc>
          <w:tcPr>
            <w:tcW w:w="4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7C9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福州经济技术开发区、福清融侨经济技术开发开区、鼓楼区软件园</w:t>
            </w:r>
          </w:p>
        </w:tc>
      </w:tr>
      <w:tr w14:paraId="01138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078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6C7D5D"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低空经济</w:t>
            </w:r>
          </w:p>
          <w:p w14:paraId="6B570C0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产业专班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1A4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智能工程学院</w:t>
            </w:r>
          </w:p>
        </w:tc>
        <w:tc>
          <w:tcPr>
            <w:tcW w:w="4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EA4CD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低空经济、新型显示</w:t>
            </w:r>
          </w:p>
        </w:tc>
        <w:tc>
          <w:tcPr>
            <w:tcW w:w="4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F32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福州高新技术产业开发区、</w:t>
            </w:r>
          </w:p>
          <w:p w14:paraId="28BB9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金山工业园区</w:t>
            </w:r>
          </w:p>
        </w:tc>
      </w:tr>
      <w:tr w14:paraId="4FB68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1AA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0853E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物流与供应链平台经济产业专班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738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商学院</w:t>
            </w:r>
          </w:p>
        </w:tc>
        <w:tc>
          <w:tcPr>
            <w:tcW w:w="4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94B64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现代物流、电子商务、供应链服务、金融服务</w:t>
            </w:r>
          </w:p>
        </w:tc>
        <w:tc>
          <w:tcPr>
            <w:tcW w:w="4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7D7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福兴经济开发区、江阴经济开发区</w:t>
            </w:r>
          </w:p>
        </w:tc>
      </w:tr>
      <w:tr w14:paraId="6EE43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001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72309D"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文创旅游</w:t>
            </w:r>
          </w:p>
          <w:p w14:paraId="589FA53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产业专班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AE8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文化旅游学院</w:t>
            </w:r>
          </w:p>
        </w:tc>
        <w:tc>
          <w:tcPr>
            <w:tcW w:w="4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EA072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文旅融合发展、高星级酒店业、数字文创产业、会展服务</w:t>
            </w:r>
          </w:p>
        </w:tc>
        <w:tc>
          <w:tcPr>
            <w:tcW w:w="4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BF6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船政文化园区、大榕树文化创意园</w:t>
            </w:r>
          </w:p>
        </w:tc>
      </w:tr>
      <w:tr w14:paraId="43784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05A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BC68B4"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绿色建筑</w:t>
            </w:r>
          </w:p>
          <w:p w14:paraId="58475BE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产业专班</w:t>
            </w:r>
          </w:p>
        </w:tc>
        <w:tc>
          <w:tcPr>
            <w:tcW w:w="2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D29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建筑工程学院</w:t>
            </w:r>
          </w:p>
        </w:tc>
        <w:tc>
          <w:tcPr>
            <w:tcW w:w="4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DF87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绿色建筑技术、节能环保应用、新型建材研发、智慧城市建设</w:t>
            </w:r>
          </w:p>
        </w:tc>
        <w:tc>
          <w:tcPr>
            <w:tcW w:w="4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FB8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福州高新技术产业开发区、</w:t>
            </w:r>
          </w:p>
          <w:p w14:paraId="5BEE1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闽侯经济开发区</w:t>
            </w:r>
          </w:p>
        </w:tc>
      </w:tr>
    </w:tbl>
    <w:p w14:paraId="32529C3B"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A433BBE-92C1-446C-A213-442C6E73E2E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F63BA8B9-A4B5-480C-BF9E-30F773FF590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C579E8F-979F-49A0-BFDF-0BA5B6534DF9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9C20C45D-063E-4C1B-B6EE-9AB79083F64A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66CD1E90-E622-4034-8678-CD8E888A537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99EB57">
    <w:pPr>
      <w:pStyle w:val="5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separate"/>
    </w:r>
    <w:r>
      <w:rPr>
        <w:rStyle w:val="12"/>
      </w:rPr>
      <w:t>1</w:t>
    </w:r>
    <w:r>
      <w:rPr>
        <w:rStyle w:val="12"/>
      </w:rPr>
      <w:fldChar w:fldCharType="end"/>
    </w:r>
  </w:p>
  <w:p w14:paraId="207A116A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838F2B">
    <w:pPr>
      <w:pStyle w:val="5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end"/>
    </w:r>
  </w:p>
  <w:p w14:paraId="6697C164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21D1DB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A72"/>
    <w:rsid w:val="00006C2B"/>
    <w:rsid w:val="000214EE"/>
    <w:rsid w:val="00032E77"/>
    <w:rsid w:val="0005641A"/>
    <w:rsid w:val="00140E2B"/>
    <w:rsid w:val="001451AC"/>
    <w:rsid w:val="00151B0C"/>
    <w:rsid w:val="0017532F"/>
    <w:rsid w:val="00181435"/>
    <w:rsid w:val="00191420"/>
    <w:rsid w:val="001C635A"/>
    <w:rsid w:val="001D4F38"/>
    <w:rsid w:val="001F37B7"/>
    <w:rsid w:val="00212248"/>
    <w:rsid w:val="00225FDD"/>
    <w:rsid w:val="00235A12"/>
    <w:rsid w:val="00243244"/>
    <w:rsid w:val="00253B63"/>
    <w:rsid w:val="00257A81"/>
    <w:rsid w:val="0026267E"/>
    <w:rsid w:val="00283DEA"/>
    <w:rsid w:val="00370E42"/>
    <w:rsid w:val="00381D87"/>
    <w:rsid w:val="00391A84"/>
    <w:rsid w:val="00397B7B"/>
    <w:rsid w:val="003B02CF"/>
    <w:rsid w:val="003C34EB"/>
    <w:rsid w:val="00447EF4"/>
    <w:rsid w:val="00491A97"/>
    <w:rsid w:val="00496122"/>
    <w:rsid w:val="004A0FCD"/>
    <w:rsid w:val="004A5155"/>
    <w:rsid w:val="004F5AFE"/>
    <w:rsid w:val="00555DB3"/>
    <w:rsid w:val="00571297"/>
    <w:rsid w:val="00587B6C"/>
    <w:rsid w:val="005B353E"/>
    <w:rsid w:val="005B616A"/>
    <w:rsid w:val="005D621B"/>
    <w:rsid w:val="005E185B"/>
    <w:rsid w:val="005F6B07"/>
    <w:rsid w:val="006255DC"/>
    <w:rsid w:val="0063473C"/>
    <w:rsid w:val="00663A72"/>
    <w:rsid w:val="00670CE5"/>
    <w:rsid w:val="00671BA0"/>
    <w:rsid w:val="00672796"/>
    <w:rsid w:val="006A3165"/>
    <w:rsid w:val="006D6136"/>
    <w:rsid w:val="006E6504"/>
    <w:rsid w:val="00715F2B"/>
    <w:rsid w:val="007531AB"/>
    <w:rsid w:val="00760043"/>
    <w:rsid w:val="00767D1B"/>
    <w:rsid w:val="00803759"/>
    <w:rsid w:val="00822960"/>
    <w:rsid w:val="00853194"/>
    <w:rsid w:val="00857027"/>
    <w:rsid w:val="00880DB2"/>
    <w:rsid w:val="008C36C9"/>
    <w:rsid w:val="008C4174"/>
    <w:rsid w:val="008F250A"/>
    <w:rsid w:val="008F350B"/>
    <w:rsid w:val="00901CD5"/>
    <w:rsid w:val="00905C85"/>
    <w:rsid w:val="00910085"/>
    <w:rsid w:val="00911700"/>
    <w:rsid w:val="00915A31"/>
    <w:rsid w:val="009401F0"/>
    <w:rsid w:val="00947281"/>
    <w:rsid w:val="0094761F"/>
    <w:rsid w:val="00955010"/>
    <w:rsid w:val="00966755"/>
    <w:rsid w:val="0097272B"/>
    <w:rsid w:val="00985CF9"/>
    <w:rsid w:val="009A3F2F"/>
    <w:rsid w:val="009A5C91"/>
    <w:rsid w:val="009B5E6B"/>
    <w:rsid w:val="009C77CB"/>
    <w:rsid w:val="009D010C"/>
    <w:rsid w:val="009E2979"/>
    <w:rsid w:val="00A118CE"/>
    <w:rsid w:val="00A54BE9"/>
    <w:rsid w:val="00A87506"/>
    <w:rsid w:val="00AB4AF2"/>
    <w:rsid w:val="00AC0F7A"/>
    <w:rsid w:val="00B0004B"/>
    <w:rsid w:val="00B16A10"/>
    <w:rsid w:val="00B86A5F"/>
    <w:rsid w:val="00BB78EB"/>
    <w:rsid w:val="00BE5CEA"/>
    <w:rsid w:val="00BF2979"/>
    <w:rsid w:val="00C1329E"/>
    <w:rsid w:val="00C54848"/>
    <w:rsid w:val="00CA4BBA"/>
    <w:rsid w:val="00CB3E60"/>
    <w:rsid w:val="00CD4411"/>
    <w:rsid w:val="00CD7C76"/>
    <w:rsid w:val="00CE0A8B"/>
    <w:rsid w:val="00CF4C31"/>
    <w:rsid w:val="00CF625D"/>
    <w:rsid w:val="00D148E9"/>
    <w:rsid w:val="00D40177"/>
    <w:rsid w:val="00D7116C"/>
    <w:rsid w:val="00D71C7E"/>
    <w:rsid w:val="00D926A8"/>
    <w:rsid w:val="00DA7033"/>
    <w:rsid w:val="00DB00E0"/>
    <w:rsid w:val="00DD349A"/>
    <w:rsid w:val="00E27D60"/>
    <w:rsid w:val="00E3400D"/>
    <w:rsid w:val="00E72EDD"/>
    <w:rsid w:val="00EB4541"/>
    <w:rsid w:val="00F0561B"/>
    <w:rsid w:val="00F2359A"/>
    <w:rsid w:val="00F30494"/>
    <w:rsid w:val="00F90491"/>
    <w:rsid w:val="00FB724A"/>
    <w:rsid w:val="00FC0B9C"/>
    <w:rsid w:val="00FC7957"/>
    <w:rsid w:val="00FD30DD"/>
    <w:rsid w:val="00FE61DC"/>
    <w:rsid w:val="00FF0828"/>
    <w:rsid w:val="00FF47E4"/>
    <w:rsid w:val="01FB2325"/>
    <w:rsid w:val="035241C7"/>
    <w:rsid w:val="07A57F26"/>
    <w:rsid w:val="0CE07134"/>
    <w:rsid w:val="14775AE0"/>
    <w:rsid w:val="20311475"/>
    <w:rsid w:val="247022A7"/>
    <w:rsid w:val="26E74533"/>
    <w:rsid w:val="2B615337"/>
    <w:rsid w:val="2C7212B2"/>
    <w:rsid w:val="392D0A79"/>
    <w:rsid w:val="39AE0D21"/>
    <w:rsid w:val="42840437"/>
    <w:rsid w:val="43FB5B7A"/>
    <w:rsid w:val="45EE77A4"/>
    <w:rsid w:val="4B332D81"/>
    <w:rsid w:val="4DBA7F6B"/>
    <w:rsid w:val="55437B26"/>
    <w:rsid w:val="56C9189A"/>
    <w:rsid w:val="5B211713"/>
    <w:rsid w:val="5B294982"/>
    <w:rsid w:val="5EB50A07"/>
    <w:rsid w:val="5F4D6E91"/>
    <w:rsid w:val="6AFE3735"/>
    <w:rsid w:val="6C613F7C"/>
    <w:rsid w:val="720930EC"/>
    <w:rsid w:val="76FA74A7"/>
    <w:rsid w:val="77D10208"/>
    <w:rsid w:val="7A066570"/>
    <w:rsid w:val="7DE1308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page number"/>
    <w:basedOn w:val="10"/>
    <w:qFormat/>
    <w:uiPriority w:val="0"/>
  </w:style>
  <w:style w:type="character" w:styleId="13">
    <w:name w:val="Hyperlink"/>
    <w:basedOn w:val="10"/>
    <w:unhideWhenUsed/>
    <w:qFormat/>
    <w:uiPriority w:val="99"/>
    <w:rPr>
      <w:color w:val="0563C1" w:themeColor="hyperlink"/>
      <w:u w:val="single"/>
    </w:rPr>
  </w:style>
  <w:style w:type="character" w:customStyle="1" w:styleId="14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5">
    <w:name w:val="页脚 Char"/>
    <w:basedOn w:val="10"/>
    <w:link w:val="5"/>
    <w:qFormat/>
    <w:uiPriority w:val="99"/>
    <w:rPr>
      <w:sz w:val="18"/>
      <w:szCs w:val="18"/>
    </w:rPr>
  </w:style>
  <w:style w:type="paragraph" w:customStyle="1" w:styleId="16">
    <w:name w:val="Char"/>
    <w:basedOn w:val="1"/>
    <w:semiHidden/>
    <w:qFormat/>
    <w:uiPriority w:val="0"/>
    <w:pPr>
      <w:widowControl/>
      <w:spacing w:after="160" w:line="240" w:lineRule="exact"/>
      <w:jc w:val="left"/>
    </w:pPr>
    <w:rPr>
      <w:rFonts w:ascii="Verdana" w:hAnsi="Verdana" w:eastAsia="宋体" w:cs="Times New Roman"/>
      <w:kern w:val="0"/>
      <w:sz w:val="20"/>
      <w:szCs w:val="20"/>
      <w:lang w:eastAsia="en-US"/>
    </w:rPr>
  </w:style>
  <w:style w:type="character" w:customStyle="1" w:styleId="17">
    <w:name w:val="批注框文本 Char"/>
    <w:basedOn w:val="10"/>
    <w:link w:val="4"/>
    <w:semiHidden/>
    <w:qFormat/>
    <w:uiPriority w:val="99"/>
    <w:rPr>
      <w:sz w:val="18"/>
      <w:szCs w:val="18"/>
    </w:rPr>
  </w:style>
  <w:style w:type="character" w:customStyle="1" w:styleId="18">
    <w:name w:val="日期 Char"/>
    <w:basedOn w:val="10"/>
    <w:link w:val="3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804</Words>
  <Characters>850</Characters>
  <Lines>3</Lines>
  <Paragraphs>1</Paragraphs>
  <TotalTime>3</TotalTime>
  <ScaleCrop>false</ScaleCrop>
  <LinksUpToDate>false</LinksUpToDate>
  <CharactersWithSpaces>868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2021-09-08T07:54:00Z</dcterms:created>
  <dc:creator>admin</dc:creator>
  <cp:lastModifiedBy>刘佳英</cp:lastModifiedBy>
  <cp:lastPrinted>2022-08-23T08:31:00Z</cp:lastPrinted>
  <dcterms:modified xsi:type="dcterms:W3CDTF">2026-10-26T07:15:56Z</dcterms:modified>
  <cp:revision>106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eyJoZGlkIjoiMDgwNDBlODhjYjZiNmEzYjNhN2QwMWU3YTAxM2FiOWQiLCJ1c2VySWQiOiIxNjYzODEzMTM1In0=</vt:lpwstr>
  </property>
  <property fmtid="{D5CDD505-2E9C-101B-9397-08002B2CF9AE}" pid="3" name="KSOProductBuildVer">
    <vt:lpwstr>2052-12.1.0.29161</vt:lpwstr>
  </property>
  <property fmtid="{D5CDD505-2E9C-101B-9397-08002B2CF9AE}" pid="4" name="ICV">
    <vt:lpwstr>93961C439C304CE597BD20E7E203E0D7_13</vt:lpwstr>
  </property>
</Properties>
</file>