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ind w:firstLine="0"/>
        <w:jc w:val="center"/>
        <w:rPr>
          <w:rFonts w:ascii="华文中宋" w:hAnsi="华文中宋" w:eastAsia="华文中宋"/>
          <w:b/>
          <w:color w:val="FF0000"/>
          <w:sz w:val="72"/>
        </w:rPr>
      </w:pPr>
      <w:r>
        <w:rPr>
          <w:rFonts w:ascii="华文中宋" w:hAnsi="华文中宋" w:eastAsia="华文中宋"/>
          <w:b/>
          <w:color w:val="FF0000"/>
          <w:spacing w:val="40"/>
          <w:w w:val="80"/>
          <w:sz w:val="72"/>
        </w:rPr>
        <w:t>福州职业技术学</w:t>
      </w:r>
      <w:r>
        <w:rPr>
          <w:rFonts w:ascii="华文中宋" w:hAnsi="华文中宋" w:eastAsia="华文中宋"/>
          <w:b/>
          <w:color w:val="FF0000"/>
          <w:spacing w:val="-100"/>
          <w:w w:val="80"/>
          <w:sz w:val="72"/>
        </w:rPr>
        <w:t>院</w:t>
      </w:r>
      <w:r>
        <w:rPr>
          <w:rFonts w:ascii="华文中宋" w:hAnsi="华文中宋" w:eastAsia="华文中宋"/>
          <w:b/>
          <w:color w:val="FF0000"/>
          <w:sz w:val="72"/>
        </w:rPr>
        <w:t>（</w:t>
      </w:r>
      <w:r>
        <w:rPr>
          <w:rFonts w:hint="eastAsia"/>
          <w:b/>
          <w:color w:val="000000"/>
          <w:sz w:val="32"/>
        </w:rPr>
        <w:t>教务处</w:t>
      </w:r>
      <w:r>
        <w:rPr>
          <w:rFonts w:ascii="华文中宋" w:hAnsi="华文中宋" w:eastAsia="华文中宋"/>
          <w:b/>
          <w:color w:val="FF0000"/>
          <w:sz w:val="72"/>
        </w:rPr>
        <w:t>）</w:t>
      </w:r>
    </w:p>
    <w:p>
      <w:pPr>
        <w:widowControl/>
        <w:snapToGrid w:val="0"/>
        <w:spacing w:before="100" w:beforeAutospacing="1" w:after="100" w:afterAutospacing="1" w:line="480" w:lineRule="exact"/>
        <w:ind w:firstLine="0"/>
        <w:jc w:val="center"/>
        <w:rPr>
          <w:rFonts w:ascii="仿宋_GB2312" w:eastAsia="仿宋_GB2312"/>
          <w:color w:val="000000"/>
          <w:sz w:val="28"/>
        </w:rPr>
      </w:pPr>
      <w:r>
        <w:rPr>
          <w:rFonts w:ascii="仿宋_GB2312" w:eastAsia="仿宋_GB2312"/>
          <w:color w:val="000000"/>
          <w:sz w:val="28"/>
        </w:rPr>
        <w:pict>
          <v:line id="_x0000_s1026" o:spid="_x0000_s1026" o:spt="20" style="position:absolute;left:0pt;margin-left:0pt;margin-top:41.65pt;height:0.15pt;width:441pt;z-index:251660288;mso-width-relative:page;mso-height-relative:page;" stroked="t" coordsize="21600,21600" o:gfxdata="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Mvyic1AAAAAYBAAAPAAAAAAAAAAEAIAAAACIAAABkcnMvZG93bnJldi54bWxQSwEC&#10;FAAUAAAACACHTuJAtMDL+PgBAADqAwAADgAAAAAAAAABACAAAAAjAQAAZHJzL2Uyb0RvYy54bWxQ&#10;SwUGAAAAAAYABgBZAQAAjQUAAAAA&#10;">
            <v:path arrowok="t"/>
            <v:fill focussize="0,0"/>
            <v:stroke weight="2.25pt" color="#FF0000"/>
            <v:imagedata o:title=""/>
            <o:lock v:ext="edit"/>
          </v:line>
        </w:pict>
      </w:r>
      <w:r>
        <w:rPr>
          <w:rFonts w:ascii="仿宋_GB2312" w:eastAsia="仿宋_GB2312"/>
          <w:color w:val="000000"/>
          <w:sz w:val="28"/>
        </w:rPr>
        <w:t>榕职院</w:t>
      </w:r>
      <w:r>
        <w:rPr>
          <w:rFonts w:hint="eastAsia" w:ascii="仿宋_GB2312" w:eastAsia="仿宋_GB2312"/>
          <w:color w:val="000000"/>
          <w:sz w:val="28"/>
        </w:rPr>
        <w:t>教务[</w:t>
      </w:r>
      <w:r>
        <w:rPr>
          <w:rFonts w:ascii="仿宋_GB2312" w:eastAsia="仿宋_GB2312"/>
          <w:color w:val="000000"/>
          <w:sz w:val="30"/>
        </w:rPr>
        <w:t>20</w:t>
      </w:r>
      <w:r>
        <w:rPr>
          <w:rFonts w:hint="eastAsia" w:ascii="仿宋_GB2312" w:eastAsia="仿宋_GB2312"/>
          <w:color w:val="000000"/>
          <w:sz w:val="30"/>
        </w:rPr>
        <w:t xml:space="preserve">23] </w:t>
      </w:r>
      <w:r>
        <w:rPr>
          <w:rFonts w:hint="eastAsia" w:ascii="仿宋_GB2312" w:eastAsia="仿宋_GB2312"/>
          <w:color w:val="000000" w:themeColor="text1"/>
          <w:sz w:val="30"/>
          <w:lang w:val="en-US" w:eastAsia="zh-CN"/>
        </w:rPr>
        <w:t>16</w:t>
      </w:r>
      <w:r>
        <w:rPr>
          <w:rFonts w:ascii="仿宋_GB2312" w:eastAsia="仿宋_GB2312"/>
          <w:color w:val="000000"/>
          <w:sz w:val="28"/>
        </w:rPr>
        <w:t>号</w:t>
      </w:r>
    </w:p>
    <w:p>
      <w:pPr>
        <w:snapToGrid w:val="0"/>
        <w:ind w:firstLine="0"/>
        <w:jc w:val="center"/>
        <w:rPr>
          <w:rFonts w:ascii="华文中宋" w:hAnsi="华文中宋" w:eastAsia="华文中宋"/>
          <w:b/>
          <w:sz w:val="32"/>
        </w:rPr>
      </w:pPr>
      <w:r>
        <w:rPr>
          <w:rFonts w:hint="eastAsia" w:ascii="华文中宋" w:hAnsi="华文中宋" w:eastAsia="华文中宋"/>
          <w:b/>
          <w:sz w:val="32"/>
        </w:rPr>
        <w:t>关于印发《福州职业技术学院</w:t>
      </w:r>
    </w:p>
    <w:p>
      <w:pPr>
        <w:snapToGrid w:val="0"/>
        <w:ind w:firstLine="0"/>
        <w:jc w:val="center"/>
        <w:rPr>
          <w:rFonts w:ascii="华文中宋" w:hAnsi="华文中宋" w:eastAsia="华文中宋"/>
          <w:b/>
          <w:sz w:val="32"/>
        </w:rPr>
      </w:pPr>
      <w:r>
        <w:rPr>
          <w:rFonts w:hint="eastAsia" w:ascii="华文中宋" w:hAnsi="华文中宋" w:eastAsia="华文中宋"/>
          <w:b/>
          <w:sz w:val="32"/>
        </w:rPr>
        <w:t>关于制定</w:t>
      </w:r>
      <w:r>
        <w:rPr>
          <w:rFonts w:hint="eastAsia" w:ascii="华文中宋" w:hAnsi="华文中宋" w:eastAsia="华文中宋"/>
          <w:b/>
          <w:color w:val="000000" w:themeColor="text1"/>
          <w:sz w:val="32"/>
        </w:rPr>
        <w:t>2023级</w:t>
      </w:r>
      <w:r>
        <w:rPr>
          <w:rFonts w:hint="eastAsia" w:ascii="华文中宋" w:hAnsi="华文中宋" w:eastAsia="华文中宋"/>
          <w:b/>
          <w:sz w:val="32"/>
        </w:rPr>
        <w:t>五年制专业人才培养方案的指导意见》的通知</w:t>
      </w:r>
    </w:p>
    <w:p>
      <w:pPr>
        <w:snapToGrid w:val="0"/>
        <w:ind w:firstLine="0"/>
        <w:rPr>
          <w:rFonts w:ascii="仿宋_GB2312" w:eastAsia="仿宋_GB2312"/>
          <w:sz w:val="28"/>
        </w:rPr>
      </w:pPr>
    </w:p>
    <w:p>
      <w:pPr>
        <w:snapToGrid w:val="0"/>
        <w:spacing w:line="500" w:lineRule="exact"/>
        <w:ind w:firstLine="0"/>
        <w:jc w:val="left"/>
        <w:rPr>
          <w:rFonts w:ascii="仿宋_GB2312" w:eastAsia="仿宋_GB2312"/>
          <w:color w:val="000000" w:themeColor="text1"/>
          <w:sz w:val="28"/>
        </w:rPr>
      </w:pPr>
      <w:r>
        <w:rPr>
          <w:rFonts w:hint="eastAsia" w:ascii="仿宋_GB2312" w:eastAsia="仿宋_GB2312"/>
          <w:color w:val="000000" w:themeColor="text1"/>
          <w:spacing w:val="-12"/>
          <w:sz w:val="28"/>
        </w:rPr>
        <w:t>各系</w:t>
      </w:r>
      <w:r>
        <w:rPr>
          <w:rFonts w:hint="eastAsia" w:ascii="仿宋_GB2312" w:eastAsia="仿宋_GB2312"/>
          <w:color w:val="000000" w:themeColor="text1"/>
          <w:sz w:val="28"/>
        </w:rPr>
        <w:t>（部、学院）：</w:t>
      </w:r>
    </w:p>
    <w:p>
      <w:pPr>
        <w:snapToGrid w:val="0"/>
        <w:spacing w:line="500" w:lineRule="exact"/>
        <w:ind w:firstLine="512" w:firstLineChars="200"/>
        <w:jc w:val="left"/>
        <w:rPr>
          <w:rFonts w:ascii="仿宋_GB2312" w:eastAsia="仿宋_GB2312"/>
          <w:color w:val="000000" w:themeColor="text1"/>
          <w:spacing w:val="-12"/>
          <w:sz w:val="28"/>
        </w:rPr>
      </w:pPr>
      <w:r>
        <w:rPr>
          <w:rFonts w:hint="eastAsia" w:ascii="仿宋_GB2312" w:eastAsia="仿宋_GB2312"/>
          <w:color w:val="000000" w:themeColor="text1"/>
          <w:spacing w:val="-12"/>
          <w:sz w:val="28"/>
        </w:rPr>
        <w:t>为促进中高职衔接贯通，规范五年制高等职业教育健康发展，我校按照《教育部关于职业院校专业人才培养方案制订与实施工作的指导意见》的要求，结合《福建省五年制高等职业教育管理办法（试行）》（闽教职成〔</w:t>
      </w:r>
      <w:r>
        <w:rPr>
          <w:rFonts w:ascii="仿宋_GB2312" w:eastAsia="仿宋_GB2312"/>
          <w:color w:val="000000" w:themeColor="text1"/>
          <w:spacing w:val="-12"/>
          <w:sz w:val="28"/>
        </w:rPr>
        <w:t>2017</w:t>
      </w:r>
      <w:r>
        <w:rPr>
          <w:rFonts w:hint="eastAsia" w:ascii="仿宋_GB2312" w:eastAsia="仿宋_GB2312"/>
          <w:color w:val="000000" w:themeColor="text1"/>
          <w:spacing w:val="-12"/>
          <w:sz w:val="28"/>
        </w:rPr>
        <w:t>〕</w:t>
      </w:r>
      <w:r>
        <w:rPr>
          <w:rFonts w:ascii="仿宋_GB2312" w:eastAsia="仿宋_GB2312"/>
          <w:color w:val="000000" w:themeColor="text1"/>
          <w:spacing w:val="-12"/>
          <w:sz w:val="28"/>
        </w:rPr>
        <w:t>19</w:t>
      </w:r>
      <w:r>
        <w:rPr>
          <w:rFonts w:hint="eastAsia" w:ascii="仿宋_GB2312" w:eastAsia="仿宋_GB2312"/>
          <w:color w:val="000000" w:themeColor="text1"/>
          <w:spacing w:val="-12"/>
          <w:sz w:val="28"/>
        </w:rPr>
        <w:t>号）</w:t>
      </w:r>
      <w:r>
        <w:rPr>
          <w:rFonts w:hint="eastAsia" w:ascii="仿宋_GB2312" w:eastAsia="仿宋_GB2312"/>
          <w:color w:val="000000" w:themeColor="text1"/>
          <w:spacing w:val="-12"/>
          <w:sz w:val="28"/>
          <w:lang w:eastAsia="zh-CN"/>
        </w:rPr>
        <w:t>、</w:t>
      </w:r>
      <w:r>
        <w:rPr>
          <w:rFonts w:hint="eastAsia" w:ascii="仿宋_GB2312" w:hAnsi="仿宋_GB2312" w:eastAsia="仿宋_GB2312" w:cs="仿宋_GB2312"/>
          <w:color w:val="000000" w:themeColor="text1"/>
          <w:sz w:val="28"/>
          <w:szCs w:val="28"/>
          <w:highlight w:val="none"/>
        </w:rPr>
        <w:t>福建省教育厅</w:t>
      </w:r>
      <w:r>
        <w:rPr>
          <w:rFonts w:hint="eastAsia" w:ascii="仿宋_GB2312" w:hAnsi="仿宋_GB2312" w:eastAsia="仿宋_GB2312" w:cs="仿宋_GB2312"/>
          <w:color w:val="000000" w:themeColor="text1"/>
          <w:sz w:val="28"/>
          <w:szCs w:val="28"/>
          <w:lang w:val="en-US" w:eastAsia="zh-CN"/>
        </w:rPr>
        <w:t>《</w:t>
      </w:r>
      <w:r>
        <w:rPr>
          <w:rFonts w:hint="eastAsia" w:ascii="仿宋_GB2312" w:hAnsi="仿宋_GB2312" w:eastAsia="仿宋_GB2312" w:cs="仿宋_GB2312"/>
          <w:color w:val="000000" w:themeColor="text1"/>
          <w:sz w:val="28"/>
          <w:szCs w:val="28"/>
          <w:highlight w:val="none"/>
        </w:rPr>
        <w:t>关于</w:t>
      </w:r>
      <w:r>
        <w:rPr>
          <w:rFonts w:hint="eastAsia" w:ascii="仿宋_GB2312" w:hAnsi="仿宋_GB2312" w:eastAsia="仿宋_GB2312" w:cs="仿宋_GB2312"/>
          <w:color w:val="000000" w:themeColor="text1"/>
          <w:sz w:val="28"/>
          <w:szCs w:val="28"/>
          <w:highlight w:val="none"/>
          <w:lang w:eastAsia="zh-CN"/>
        </w:rPr>
        <w:t>公布福建省普通高校专升本招考类别和考试说明</w:t>
      </w:r>
      <w:r>
        <w:rPr>
          <w:rFonts w:hint="eastAsia" w:ascii="仿宋_GB2312" w:hAnsi="仿宋_GB2312" w:eastAsia="仿宋_GB2312" w:cs="仿宋_GB2312"/>
          <w:color w:val="000000" w:themeColor="text1"/>
          <w:sz w:val="28"/>
          <w:szCs w:val="28"/>
          <w:highlight w:val="none"/>
        </w:rPr>
        <w:t>的通知</w:t>
      </w:r>
      <w:r>
        <w:rPr>
          <w:rFonts w:hint="eastAsia" w:ascii="仿宋_GB2312" w:hAnsi="仿宋_GB2312" w:eastAsia="仿宋_GB2312" w:cs="仿宋_GB2312"/>
          <w:color w:val="000000" w:themeColor="text1"/>
          <w:sz w:val="28"/>
          <w:szCs w:val="28"/>
          <w:highlight w:val="none"/>
          <w:lang w:eastAsia="zh-CN"/>
        </w:rPr>
        <w:t>》（</w:t>
      </w:r>
      <w:r>
        <w:rPr>
          <w:rFonts w:hint="eastAsia" w:ascii="仿宋_GB2312" w:hAnsi="仿宋_GB2312" w:eastAsia="仿宋_GB2312" w:cs="仿宋_GB2312"/>
          <w:color w:val="000000" w:themeColor="text1"/>
          <w:sz w:val="28"/>
          <w:szCs w:val="28"/>
        </w:rPr>
        <w:t>闽教</w:t>
      </w:r>
      <w:r>
        <w:rPr>
          <w:rFonts w:hint="eastAsia" w:ascii="仿宋_GB2312" w:hAnsi="仿宋_GB2312" w:eastAsia="仿宋_GB2312" w:cs="仿宋_GB2312"/>
          <w:color w:val="000000" w:themeColor="text1"/>
          <w:sz w:val="28"/>
          <w:szCs w:val="28"/>
          <w:lang w:eastAsia="zh-CN"/>
        </w:rPr>
        <w:t>学</w:t>
      </w:r>
      <w:r>
        <w:rPr>
          <w:rFonts w:hint="eastAsia" w:ascii="仿宋_GB2312" w:hAnsi="仿宋_GB2312" w:eastAsia="仿宋_GB2312" w:cs="仿宋_GB2312"/>
          <w:color w:val="000000" w:themeColor="text1"/>
          <w:sz w:val="28"/>
          <w:szCs w:val="28"/>
        </w:rPr>
        <w:t>〔2</w:t>
      </w:r>
      <w:r>
        <w:rPr>
          <w:rFonts w:hint="eastAsia" w:ascii="仿宋_GB2312" w:hAnsi="仿宋_GB2312" w:eastAsia="仿宋_GB2312" w:cs="仿宋_GB2312"/>
          <w:color w:val="000000" w:themeColor="text1"/>
          <w:sz w:val="28"/>
          <w:szCs w:val="28"/>
          <w:lang w:val="en-US" w:eastAsia="zh-CN"/>
        </w:rPr>
        <w:t>022</w:t>
      </w: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color w:val="000000" w:themeColor="text1"/>
          <w:sz w:val="28"/>
          <w:szCs w:val="28"/>
          <w:lang w:val="en-US" w:eastAsia="zh-CN"/>
        </w:rPr>
        <w:t>37</w:t>
      </w:r>
      <w:r>
        <w:rPr>
          <w:rFonts w:hint="eastAsia" w:ascii="仿宋_GB2312" w:hAnsi="仿宋_GB2312" w:eastAsia="仿宋_GB2312" w:cs="仿宋_GB2312"/>
          <w:color w:val="000000" w:themeColor="text1"/>
          <w:sz w:val="28"/>
          <w:szCs w:val="28"/>
        </w:rPr>
        <w:t>号</w:t>
      </w:r>
      <w:r>
        <w:rPr>
          <w:rFonts w:hint="eastAsia" w:ascii="仿宋_GB2312" w:hAnsi="仿宋_GB2312" w:eastAsia="仿宋_GB2312" w:cs="仿宋_GB2312"/>
          <w:color w:val="000000" w:themeColor="text1"/>
          <w:sz w:val="28"/>
          <w:szCs w:val="28"/>
          <w:highlight w:val="none"/>
          <w:lang w:eastAsia="zh-CN"/>
        </w:rPr>
        <w:t>）</w:t>
      </w:r>
      <w:r>
        <w:rPr>
          <w:rFonts w:hint="eastAsia" w:ascii="仿宋_GB2312" w:eastAsia="仿宋_GB2312"/>
          <w:color w:val="000000" w:themeColor="text1"/>
          <w:spacing w:val="-12"/>
          <w:sz w:val="28"/>
        </w:rPr>
        <w:t>文件精神，制定了学校五年制专业人才培养方案制定的指导意见。现将《福州职业技术学院关于制定2023级五年制专业人才培养方案的指导意见》印发给你们，请遵照执行。</w:t>
      </w:r>
    </w:p>
    <w:p>
      <w:pPr>
        <w:snapToGrid w:val="0"/>
        <w:ind w:left="570" w:firstLine="570"/>
        <w:rPr>
          <w:rFonts w:ascii="仿宋_GB2312" w:hAnsi="Tahoma" w:eastAsia="仿宋_GB2312"/>
          <w:color w:val="000000"/>
          <w:sz w:val="32"/>
        </w:rPr>
      </w:pPr>
    </w:p>
    <w:p>
      <w:pPr>
        <w:snapToGrid w:val="0"/>
        <w:ind w:left="570" w:firstLine="570"/>
        <w:jc w:val="right"/>
        <w:rPr>
          <w:rFonts w:ascii="仿宋_GB2312" w:eastAsia="仿宋_GB2312"/>
          <w:color w:val="000000"/>
          <w:sz w:val="28"/>
        </w:rPr>
      </w:pPr>
    </w:p>
    <w:p>
      <w:pPr>
        <w:snapToGrid w:val="0"/>
        <w:ind w:left="570" w:firstLine="570"/>
        <w:rPr>
          <w:rFonts w:ascii="仿宋_GB2312" w:eastAsia="仿宋_GB2312"/>
          <w:color w:val="000000"/>
          <w:sz w:val="28"/>
        </w:rPr>
      </w:pPr>
    </w:p>
    <w:p>
      <w:pPr>
        <w:snapToGrid w:val="0"/>
        <w:ind w:left="570" w:firstLine="570"/>
        <w:rPr>
          <w:rFonts w:ascii="仿宋_GB2312" w:eastAsia="仿宋_GB2312"/>
          <w:color w:val="000000"/>
          <w:sz w:val="28"/>
        </w:rPr>
      </w:pPr>
    </w:p>
    <w:p>
      <w:pPr>
        <w:snapToGrid w:val="0"/>
        <w:ind w:left="570" w:firstLine="570"/>
        <w:rPr>
          <w:rFonts w:ascii="仿宋_GB2312" w:eastAsia="仿宋_GB2312"/>
          <w:color w:val="000000"/>
          <w:sz w:val="28"/>
        </w:rPr>
      </w:pPr>
      <w:r>
        <w:rPr>
          <w:rFonts w:hint="eastAsia" w:ascii="仿宋_GB2312" w:eastAsia="仿宋_GB2312"/>
          <w:color w:val="000000"/>
          <w:sz w:val="28"/>
        </w:rPr>
        <w:t xml:space="preserve">                                       教务处</w:t>
      </w:r>
    </w:p>
    <w:p>
      <w:pPr>
        <w:snapToGrid w:val="0"/>
        <w:ind w:left="570" w:firstLine="570"/>
        <w:rPr>
          <w:rFonts w:ascii="仿宋_GB2312" w:eastAsia="仿宋_GB2312"/>
          <w:color w:val="000000"/>
          <w:sz w:val="28"/>
        </w:rPr>
      </w:pPr>
    </w:p>
    <w:p>
      <w:pPr>
        <w:snapToGrid w:val="0"/>
        <w:ind w:left="570" w:firstLine="570"/>
        <w:jc w:val="left"/>
        <w:rPr>
          <w:rFonts w:ascii="仿宋_GB2312" w:eastAsia="仿宋_GB2312"/>
          <w:color w:val="000000"/>
          <w:sz w:val="28"/>
        </w:rPr>
      </w:pPr>
      <w:r>
        <w:rPr>
          <w:rFonts w:hint="eastAsia" w:ascii="仿宋_GB2312" w:eastAsia="仿宋_GB2312"/>
          <w:color w:val="000000"/>
          <w:sz w:val="28"/>
        </w:rPr>
        <w:t xml:space="preserve">                                   2023年 </w:t>
      </w:r>
      <w:r>
        <w:rPr>
          <w:rFonts w:hint="eastAsia" w:ascii="仿宋_GB2312" w:eastAsia="仿宋_GB2312"/>
          <w:color w:val="000000"/>
          <w:sz w:val="28"/>
          <w:lang w:val="en-US" w:eastAsia="zh-CN"/>
        </w:rPr>
        <w:t>5</w:t>
      </w:r>
      <w:r>
        <w:rPr>
          <w:rFonts w:hint="eastAsia" w:ascii="仿宋_GB2312" w:eastAsia="仿宋_GB2312"/>
          <w:color w:val="000000"/>
          <w:sz w:val="28"/>
        </w:rPr>
        <w:t>月</w:t>
      </w:r>
      <w:r>
        <w:rPr>
          <w:rFonts w:hint="eastAsia" w:ascii="仿宋_GB2312" w:eastAsia="仿宋_GB2312"/>
          <w:color w:val="000000"/>
          <w:sz w:val="28"/>
          <w:lang w:val="en-US" w:eastAsia="zh-CN"/>
        </w:rPr>
        <w:t>4</w:t>
      </w:r>
      <w:r>
        <w:rPr>
          <w:rFonts w:hint="eastAsia" w:ascii="仿宋_GB2312" w:eastAsia="仿宋_GB2312"/>
          <w:color w:val="000000"/>
          <w:sz w:val="28"/>
        </w:rPr>
        <w:t>日</w:t>
      </w:r>
    </w:p>
    <w:p>
      <w:pPr>
        <w:snapToGrid w:val="0"/>
        <w:ind w:left="560" w:firstLine="560"/>
        <w:rPr>
          <w:rFonts w:ascii="仿宋_GB2312" w:eastAsia="仿宋_GB2312"/>
          <w:color w:val="000000"/>
          <w:sz w:val="28"/>
        </w:rPr>
      </w:pPr>
    </w:p>
    <w:p>
      <w:pPr>
        <w:snapToGrid w:val="0"/>
        <w:spacing w:line="500" w:lineRule="exact"/>
        <w:ind w:left="5219" w:firstLine="5219"/>
        <w:rPr>
          <w:rFonts w:ascii="仿宋_GB2312"/>
          <w:color w:val="000000"/>
          <w:sz w:val="28"/>
        </w:rPr>
      </w:pPr>
    </w:p>
    <w:p>
      <w:pPr>
        <w:snapToGrid w:val="0"/>
        <w:spacing w:line="500" w:lineRule="exact"/>
        <w:ind w:left="0" w:firstLine="0"/>
        <w:rPr>
          <w:rFonts w:ascii="仿宋_GB2312"/>
          <w:color w:val="000000"/>
          <w:sz w:val="28"/>
        </w:rPr>
      </w:pPr>
    </w:p>
    <w:p>
      <w:pPr>
        <w:snapToGrid w:val="0"/>
        <w:spacing w:line="420" w:lineRule="exact"/>
        <w:ind w:firstLine="0"/>
        <w:rPr>
          <w:rFonts w:ascii="仿宋_GB2312" w:hAnsi="华文中宋" w:eastAsia="仿宋_GB2312"/>
          <w:color w:val="000000"/>
          <w:sz w:val="28"/>
          <w:u w:val="single"/>
        </w:rPr>
      </w:pPr>
      <w:r>
        <w:rPr>
          <w:rFonts w:hint="eastAsia" w:ascii="仿宋_GB2312" w:hAnsi="华文中宋" w:eastAsia="仿宋_GB2312"/>
          <w:color w:val="000000"/>
          <w:sz w:val="28"/>
          <w:u w:val="single"/>
        </w:rPr>
        <w:t xml:space="preserve">                                                              </w:t>
      </w:r>
    </w:p>
    <w:p>
      <w:pPr>
        <w:snapToGrid w:val="0"/>
        <w:spacing w:line="420" w:lineRule="exact"/>
        <w:ind w:firstLine="0"/>
        <w:rPr>
          <w:rFonts w:ascii="仿宋_GB2312" w:hAnsi="华文中宋" w:eastAsia="仿宋_GB2312"/>
          <w:color w:val="000000"/>
          <w:sz w:val="28"/>
          <w:u w:val="single"/>
        </w:rPr>
      </w:pPr>
      <w:r>
        <w:rPr>
          <w:rFonts w:hint="eastAsia" w:ascii="仿宋_GB2312" w:hAnsi="华文中宋" w:eastAsia="仿宋_GB2312"/>
          <w:color w:val="000000"/>
          <w:sz w:val="28"/>
          <w:u w:val="single"/>
        </w:rPr>
        <w:t xml:space="preserve"> 福州职业技术学院教务处             2</w:t>
      </w:r>
      <w:r>
        <w:rPr>
          <w:rFonts w:ascii="仿宋_GB2312" w:eastAsia="仿宋_GB2312"/>
          <w:color w:val="000000"/>
          <w:sz w:val="28"/>
          <w:u w:val="single"/>
        </w:rPr>
        <w:t>0</w:t>
      </w:r>
      <w:r>
        <w:rPr>
          <w:rFonts w:hint="eastAsia" w:ascii="仿宋_GB2312" w:eastAsia="仿宋_GB2312"/>
          <w:color w:val="000000"/>
          <w:sz w:val="28"/>
          <w:u w:val="single"/>
        </w:rPr>
        <w:t>2</w:t>
      </w:r>
      <w:r>
        <w:rPr>
          <w:rFonts w:hint="eastAsia" w:ascii="仿宋_GB2312" w:eastAsia="仿宋_GB2312"/>
          <w:color w:val="000000"/>
          <w:sz w:val="28"/>
          <w:u w:val="single"/>
          <w:lang w:val="en-US" w:eastAsia="zh-CN"/>
        </w:rPr>
        <w:t>3</w:t>
      </w:r>
      <w:r>
        <w:rPr>
          <w:rFonts w:ascii="仿宋_GB2312" w:eastAsia="仿宋_GB2312"/>
          <w:color w:val="000000"/>
          <w:sz w:val="28"/>
          <w:u w:val="single"/>
        </w:rPr>
        <w:t>年</w:t>
      </w:r>
      <w:r>
        <w:rPr>
          <w:rFonts w:hint="eastAsia" w:ascii="仿宋_GB2312" w:eastAsia="仿宋_GB2312"/>
          <w:color w:val="000000"/>
          <w:sz w:val="28"/>
          <w:u w:val="single"/>
        </w:rPr>
        <w:t xml:space="preserve"> </w:t>
      </w:r>
      <w:r>
        <w:rPr>
          <w:rFonts w:hint="eastAsia" w:ascii="仿宋_GB2312" w:eastAsia="仿宋_GB2312"/>
          <w:color w:val="000000"/>
          <w:sz w:val="28"/>
          <w:u w:val="single"/>
          <w:lang w:val="en-US" w:eastAsia="zh-CN"/>
        </w:rPr>
        <w:t>5</w:t>
      </w:r>
      <w:r>
        <w:rPr>
          <w:rFonts w:hint="eastAsia" w:ascii="仿宋_GB2312" w:eastAsia="仿宋_GB2312"/>
          <w:color w:val="000000"/>
          <w:sz w:val="28"/>
          <w:u w:val="single"/>
        </w:rPr>
        <w:t>月</w:t>
      </w:r>
      <w:r>
        <w:rPr>
          <w:rFonts w:hint="eastAsia" w:ascii="仿宋_GB2312" w:eastAsia="仿宋_GB2312"/>
          <w:color w:val="000000"/>
          <w:sz w:val="28"/>
          <w:u w:val="single"/>
          <w:lang w:val="en-US" w:eastAsia="zh-CN"/>
        </w:rPr>
        <w:t>4</w:t>
      </w:r>
      <w:r>
        <w:rPr>
          <w:rFonts w:ascii="仿宋_GB2312" w:eastAsia="仿宋_GB2312"/>
          <w:color w:val="000000"/>
          <w:sz w:val="28"/>
          <w:u w:val="single"/>
        </w:rPr>
        <w:t>日</w:t>
      </w:r>
      <w:r>
        <w:rPr>
          <w:rFonts w:hint="eastAsia" w:ascii="仿宋_GB2312" w:eastAsia="仿宋_GB2312"/>
          <w:color w:val="000000"/>
          <w:sz w:val="28"/>
          <w:u w:val="single"/>
        </w:rPr>
        <w:t>印发</w:t>
      </w:r>
      <w:r>
        <w:rPr>
          <w:rFonts w:hint="eastAsia" w:ascii="仿宋_GB2312" w:hAnsi="华文中宋" w:eastAsia="仿宋_GB2312"/>
          <w:color w:val="000000"/>
          <w:sz w:val="28"/>
          <w:u w:val="single"/>
        </w:rPr>
        <w:t xml:space="preserve">       </w:t>
      </w:r>
    </w:p>
    <w:p>
      <w:pPr>
        <w:snapToGrid w:val="0"/>
        <w:spacing w:line="420" w:lineRule="exact"/>
        <w:ind w:firstLine="0"/>
        <w:rPr>
          <w:rFonts w:ascii="仿宋_GB2312" w:hAnsi="华文中宋" w:eastAsia="仿宋_GB2312"/>
          <w:color w:val="000000"/>
          <w:sz w:val="28"/>
          <w:u w:val="single"/>
        </w:rPr>
      </w:pPr>
    </w:p>
    <w:p>
      <w:pPr>
        <w:snapToGrid w:val="0"/>
        <w:spacing w:line="500" w:lineRule="exact"/>
        <w:ind w:left="5219" w:firstLine="5219"/>
        <w:rPr>
          <w:rFonts w:ascii="仿宋_GB2312"/>
          <w:color w:val="000000"/>
          <w:sz w:val="28"/>
        </w:rPr>
      </w:pPr>
      <w:r>
        <w:rPr>
          <w:rFonts w:hint="eastAsia" w:ascii="仿宋_GB2312" w:hAnsi="华文中宋" w:eastAsia="仿宋_GB2312"/>
          <w:color w:val="000000"/>
          <w:sz w:val="28"/>
          <w:u w:val="single"/>
        </w:rPr>
        <w:t xml:space="preserve"> </w:t>
      </w:r>
    </w:p>
    <w:p>
      <w:pPr>
        <w:snapToGrid w:val="0"/>
        <w:spacing w:line="500" w:lineRule="exact"/>
        <w:rPr>
          <w:rFonts w:ascii="仿宋_GB2312" w:eastAsia="仿宋_GB2312"/>
          <w:b/>
          <w:color w:val="000000"/>
          <w:sz w:val="32"/>
        </w:rPr>
      </w:pPr>
      <w:r>
        <w:rPr>
          <w:color w:val="000000"/>
        </w:rPr>
        <w:br w:type="page"/>
      </w:r>
      <w:r>
        <w:rPr>
          <w:rFonts w:hint="eastAsia" w:ascii="仿宋_GB2312" w:eastAsia="仿宋_GB2312"/>
          <w:b/>
          <w:color w:val="000000"/>
          <w:sz w:val="32"/>
        </w:rPr>
        <w:t>福州职业技术学院</w:t>
      </w:r>
    </w:p>
    <w:p>
      <w:pPr>
        <w:snapToGrid w:val="0"/>
        <w:ind w:firstLine="0"/>
        <w:jc w:val="center"/>
        <w:rPr>
          <w:rFonts w:ascii="仿宋_GB2312" w:eastAsia="仿宋_GB2312"/>
          <w:b/>
          <w:color w:val="000000"/>
          <w:sz w:val="32"/>
        </w:rPr>
      </w:pPr>
      <w:r>
        <w:rPr>
          <w:rFonts w:hint="eastAsia" w:ascii="仿宋_GB2312" w:eastAsia="仿宋_GB2312"/>
          <w:b/>
          <w:color w:val="000000"/>
          <w:sz w:val="32"/>
        </w:rPr>
        <w:t>关于制定2023级五年制专业人才培养方案的指导意见</w:t>
      </w:r>
    </w:p>
    <w:p>
      <w:pPr>
        <w:snapToGrid w:val="0"/>
        <w:ind w:firstLine="0"/>
        <w:jc w:val="center"/>
        <w:rPr>
          <w:rFonts w:ascii="仿宋_GB2312" w:eastAsia="仿宋_GB2312"/>
          <w:b/>
          <w:color w:val="000000"/>
          <w:sz w:val="32"/>
        </w:rPr>
      </w:pPr>
    </w:p>
    <w:p>
      <w:pPr>
        <w:snapToGrid w:val="0"/>
        <w:ind w:firstLine="0"/>
        <w:jc w:val="center"/>
        <w:rPr>
          <w:rFonts w:ascii="仿宋_GB2312" w:eastAsia="仿宋_GB2312"/>
          <w:b/>
          <w:color w:val="000000"/>
          <w:sz w:val="32"/>
        </w:rPr>
      </w:pP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专业人才培养方案是专业人才培养的总体设计与蓝图，是安排教学内容组织和管理教学过程的主要依据，是实施人才培养和质量评价的基本依据。专业人才培养方案由专业教学团队在专业负责人的带领下，落实党和国家人才培养有关总体要求，以职业教育国家教学标准为基本遵循，结合专业自身办学定位和实际需求，对专业人才培养要求和过程的总体设计。</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现就学校五年制专业人才培养方案的制订工作提出如下指导意见。</w:t>
      </w:r>
    </w:p>
    <w:p>
      <w:pPr>
        <w:adjustRightInd w:val="0"/>
        <w:snapToGrid w:val="0"/>
        <w:spacing w:line="360" w:lineRule="auto"/>
        <w:ind w:firstLine="562" w:firstLineChars="200"/>
        <w:jc w:val="left"/>
        <w:rPr>
          <w:rFonts w:ascii="黑体" w:hAnsi="黑体" w:eastAsia="黑体"/>
          <w:b/>
          <w:color w:val="000000"/>
          <w:sz w:val="28"/>
        </w:rPr>
      </w:pPr>
      <w:r>
        <w:rPr>
          <w:rFonts w:hint="eastAsia" w:ascii="黑体" w:hAnsi="黑体" w:eastAsia="黑体"/>
          <w:b/>
          <w:color w:val="000000"/>
          <w:sz w:val="28"/>
        </w:rPr>
        <w:t>一、指导思想</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以习近平新时代中国特色社会主义思想为指导，全面贯彻</w:t>
      </w:r>
      <w:r>
        <w:rPr>
          <w:rFonts w:hint="eastAsia" w:ascii="仿宋_GB2312" w:hAnsi="仿宋" w:eastAsia="仿宋_GB2312"/>
          <w:color w:val="000000" w:themeColor="text1"/>
          <w:sz w:val="28"/>
        </w:rPr>
        <w:t>党的二十大</w:t>
      </w:r>
      <w:r>
        <w:rPr>
          <w:rFonts w:hint="eastAsia" w:ascii="仿宋_GB2312" w:hAnsi="仿宋" w:eastAsia="仿宋_GB2312"/>
          <w:color w:val="000000"/>
          <w:sz w:val="28"/>
        </w:rPr>
        <w:t>精神以及教育部《国家职业教育改革实施方案》等文件要求，围绕促进学生成长成才，落实立德树人根本任务，将社会主义核心价值观教育贯穿技术技能人才培养全过程</w:t>
      </w:r>
      <w:r>
        <w:rPr>
          <w:rFonts w:ascii="仿宋_GB2312" w:hAnsi="仿宋" w:eastAsia="仿宋_GB2312"/>
          <w:color w:val="000000"/>
          <w:sz w:val="28"/>
        </w:rPr>
        <w:t>,</w:t>
      </w:r>
      <w:r>
        <w:rPr>
          <w:rFonts w:hint="eastAsia" w:ascii="仿宋_GB2312" w:hAnsi="仿宋" w:eastAsia="仿宋_GB2312"/>
          <w:color w:val="000000"/>
          <w:sz w:val="28"/>
        </w:rPr>
        <w:t>以深化产教融合、校企合作为载体，对接科技发展趋势和市场需求</w:t>
      </w:r>
      <w:r>
        <w:rPr>
          <w:rFonts w:ascii="仿宋_GB2312" w:hAnsi="仿宋" w:eastAsia="仿宋_GB2312"/>
          <w:color w:val="000000"/>
          <w:sz w:val="28"/>
        </w:rPr>
        <w:t>,</w:t>
      </w:r>
      <w:r>
        <w:rPr>
          <w:rFonts w:hint="eastAsia" w:ascii="仿宋_GB2312" w:hAnsi="仿宋" w:eastAsia="仿宋_GB2312"/>
          <w:color w:val="000000"/>
          <w:sz w:val="28"/>
        </w:rPr>
        <w:t>构建“专业与产业、企业、岗位对接，专业课程内容与职业标准对接，教学过程与生产过程对接，学历证书与职业资格证书对接”的专业人才培养体系，全面推进工学结合的人才培养模式改革，实现专业建设内涵特色发展，为中国特色社会主义建设培养服务区域发展的高素质技术技能人才。</w:t>
      </w:r>
    </w:p>
    <w:p>
      <w:pPr>
        <w:adjustRightInd w:val="0"/>
        <w:snapToGrid w:val="0"/>
        <w:spacing w:line="360" w:lineRule="auto"/>
        <w:ind w:firstLine="562" w:firstLineChars="200"/>
        <w:jc w:val="left"/>
        <w:rPr>
          <w:rFonts w:ascii="黑体" w:hAnsi="黑体" w:eastAsia="黑体"/>
          <w:b/>
          <w:color w:val="000000"/>
          <w:sz w:val="28"/>
        </w:rPr>
      </w:pPr>
      <w:r>
        <w:rPr>
          <w:rFonts w:hint="eastAsia" w:ascii="黑体" w:hAnsi="黑体" w:eastAsia="黑体"/>
          <w:b/>
          <w:color w:val="000000"/>
          <w:sz w:val="28"/>
        </w:rPr>
        <w:t>二、基本原则</w:t>
      </w:r>
    </w:p>
    <w:p>
      <w:pPr>
        <w:adjustRightInd w:val="0"/>
        <w:snapToGrid w:val="0"/>
        <w:spacing w:line="360" w:lineRule="auto"/>
        <w:ind w:firstLine="562" w:firstLineChars="200"/>
        <w:jc w:val="left"/>
        <w:rPr>
          <w:rFonts w:ascii="仿宋_GB2312" w:hAnsi="仿宋" w:eastAsia="仿宋_GB2312"/>
          <w:b/>
          <w:color w:val="000000"/>
          <w:sz w:val="28"/>
        </w:rPr>
      </w:pPr>
      <w:r>
        <w:rPr>
          <w:rFonts w:hint="eastAsia" w:ascii="仿宋_GB2312" w:hAnsi="仿宋" w:eastAsia="仿宋_GB2312"/>
          <w:b/>
          <w:color w:val="000000"/>
          <w:sz w:val="28"/>
        </w:rPr>
        <w:t>（一）坚持育人为本，促进德技并修</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方案制订应落实立德树人根本任务，着力发挥专业育人作用，遵循职业教育规律和学生身心发展规律，围绕促进学生成长成才，努力将思想政治教育、职业道德和工匠精神培育融入教育教学全过程，构建全员、全方位、全过程育人体系，引领学生树立社会主义核心价值观。加强劳动教育</w:t>
      </w:r>
      <w:r>
        <w:rPr>
          <w:rFonts w:ascii="仿宋_GB2312" w:hAnsi="仿宋" w:eastAsia="仿宋_GB2312"/>
          <w:color w:val="000000"/>
          <w:sz w:val="28"/>
        </w:rPr>
        <w:t>,</w:t>
      </w:r>
      <w:r>
        <w:rPr>
          <w:rFonts w:hint="eastAsia" w:ascii="仿宋_GB2312" w:hAnsi="仿宋" w:eastAsia="仿宋_GB2312"/>
          <w:color w:val="000000"/>
          <w:sz w:val="28"/>
        </w:rPr>
        <w:t>以劳树德、以劳增智、以劳强体、以劳育美。专业课程教学强化理实一体化教学和注重实践教学，促进学生德技并修、全面发展。</w:t>
      </w:r>
    </w:p>
    <w:p>
      <w:pPr>
        <w:adjustRightInd w:val="0"/>
        <w:snapToGrid w:val="0"/>
        <w:spacing w:line="360" w:lineRule="auto"/>
        <w:ind w:firstLine="562" w:firstLineChars="200"/>
        <w:jc w:val="left"/>
        <w:rPr>
          <w:rFonts w:ascii="仿宋_GB2312" w:hAnsi="仿宋" w:eastAsia="仿宋_GB2312"/>
          <w:b/>
          <w:color w:val="000000"/>
          <w:sz w:val="28"/>
        </w:rPr>
      </w:pPr>
      <w:r>
        <w:rPr>
          <w:rFonts w:hint="eastAsia" w:ascii="仿宋_GB2312" w:hAnsi="仿宋" w:eastAsia="仿宋_GB2312"/>
          <w:b/>
          <w:color w:val="000000"/>
          <w:sz w:val="28"/>
        </w:rPr>
        <w:t>（二）坚持层次分明，促进中高职衔接</w:t>
      </w:r>
    </w:p>
    <w:p>
      <w:pPr>
        <w:adjustRightInd w:val="0"/>
        <w:snapToGrid w:val="0"/>
        <w:spacing w:line="360" w:lineRule="auto"/>
        <w:ind w:firstLine="560" w:firstLineChars="200"/>
        <w:jc w:val="left"/>
        <w:rPr>
          <w:rFonts w:ascii="仿宋_GB2312" w:hAnsi="仿宋" w:eastAsia="仿宋_GB2312"/>
          <w:b/>
          <w:color w:val="000000"/>
          <w:sz w:val="28"/>
        </w:rPr>
      </w:pPr>
      <w:r>
        <w:rPr>
          <w:rFonts w:hint="eastAsia" w:ascii="仿宋_GB2312" w:hAnsi="仿宋" w:eastAsia="仿宋_GB2312"/>
          <w:color w:val="000000"/>
          <w:sz w:val="28"/>
        </w:rPr>
        <w:t>着眼于区域经济社会发展需求和行业发展需要，对接职业岗位进阶层次及不同层次技术技能人才的知识、能力和素养要求，遵循教育教学规律和技术技能人才成长规律，坚持统筹规划、层次分明、系统培养、保障质量，进行一体化教学设计，统筹安排公共基础、专业理论和专业实践课程，科学编排课程顺序，精心选择课程内容，做到中高职教学过程的有机衔接，推进职业教育与终身学习对接。</w:t>
      </w:r>
    </w:p>
    <w:p>
      <w:pPr>
        <w:adjustRightInd w:val="0"/>
        <w:snapToGrid w:val="0"/>
        <w:spacing w:line="360" w:lineRule="auto"/>
        <w:ind w:firstLine="562" w:firstLineChars="200"/>
        <w:jc w:val="left"/>
        <w:rPr>
          <w:rFonts w:ascii="仿宋_GB2312" w:hAnsi="仿宋" w:eastAsia="仿宋_GB2312"/>
          <w:b/>
          <w:color w:val="000000"/>
          <w:sz w:val="28"/>
        </w:rPr>
      </w:pPr>
      <w:r>
        <w:rPr>
          <w:rFonts w:hint="eastAsia" w:ascii="仿宋_GB2312" w:hAnsi="仿宋" w:eastAsia="仿宋_GB2312"/>
          <w:b/>
          <w:color w:val="000000"/>
          <w:sz w:val="28"/>
        </w:rPr>
        <w:t>（三）坚持标准引领，促进特色发展</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以职业教育国家教学标准（主要包括专业目录、专业教学标准、课程标准、顶岗实习标准、实训教学条件建设标准（仪器设备配备规范）等）为基本遵循，以对接区域经济产业明确的职业面向和职业标准为引领，贯彻落实学校在有关课程设置、教育教学内容等方面的要求，发挥专业优势，明确专业</w:t>
      </w:r>
      <w:r>
        <w:fldChar w:fldCharType="begin"/>
      </w:r>
      <w:r>
        <w:instrText xml:space="preserve"> HYPERLINK "http://baike.baidu.com/item/%E7%89%B9%E8%89%B2%E5%AE%9A%E4%BD%8D" \t "_blank" </w:instrText>
      </w:r>
      <w:r>
        <w:fldChar w:fldCharType="separate"/>
      </w:r>
      <w:r>
        <w:rPr>
          <w:rFonts w:hint="eastAsia" w:ascii="仿宋_GB2312" w:hAnsi="仿宋" w:eastAsia="仿宋_GB2312"/>
          <w:color w:val="000000"/>
          <w:sz w:val="28"/>
        </w:rPr>
        <w:t>特色定位</w:t>
      </w:r>
      <w:r>
        <w:rPr>
          <w:rFonts w:hint="eastAsia" w:ascii="仿宋_GB2312" w:hAnsi="仿宋" w:eastAsia="仿宋_GB2312"/>
          <w:color w:val="000000"/>
          <w:sz w:val="28"/>
        </w:rPr>
        <w:fldChar w:fldCharType="end"/>
      </w:r>
      <w:r>
        <w:rPr>
          <w:rFonts w:hint="eastAsia" w:ascii="仿宋_GB2312" w:hAnsi="仿宋" w:eastAsia="仿宋_GB2312"/>
          <w:color w:val="000000"/>
          <w:sz w:val="28"/>
        </w:rPr>
        <w:t>，采取“人无我有</w:t>
      </w:r>
      <w:r>
        <w:rPr>
          <w:rFonts w:ascii="仿宋_GB2312" w:hAnsi="仿宋" w:eastAsia="仿宋_GB2312"/>
          <w:color w:val="000000"/>
          <w:sz w:val="28"/>
        </w:rPr>
        <w:t>,</w:t>
      </w:r>
      <w:r>
        <w:rPr>
          <w:rFonts w:hint="eastAsia" w:ascii="仿宋_GB2312" w:hAnsi="仿宋" w:eastAsia="仿宋_GB2312"/>
          <w:color w:val="000000"/>
          <w:sz w:val="28"/>
        </w:rPr>
        <w:t>人有我优</w:t>
      </w:r>
      <w:r>
        <w:rPr>
          <w:rFonts w:ascii="仿宋_GB2312" w:hAnsi="仿宋" w:eastAsia="仿宋_GB2312"/>
          <w:color w:val="000000"/>
          <w:sz w:val="28"/>
        </w:rPr>
        <w:t>,</w:t>
      </w:r>
      <w:r>
        <w:rPr>
          <w:rFonts w:hint="eastAsia" w:ascii="仿宋_GB2312" w:hAnsi="仿宋" w:eastAsia="仿宋_GB2312"/>
          <w:color w:val="000000"/>
          <w:sz w:val="28"/>
        </w:rPr>
        <w:t>人优我新”的</w:t>
      </w:r>
      <w:r>
        <w:fldChar w:fldCharType="begin"/>
      </w:r>
      <w:r>
        <w:instrText xml:space="preserve"> HYPERLINK "http://baike.baidu.com/item/%E5%B7%AE%E5%BC%82%E5%8C%96%E7%AD%96%E7%95%A5/9767094" \t "_blank" </w:instrText>
      </w:r>
      <w:r>
        <w:fldChar w:fldCharType="separate"/>
      </w:r>
      <w:r>
        <w:rPr>
          <w:rFonts w:hint="eastAsia" w:ascii="仿宋_GB2312" w:hAnsi="仿宋" w:eastAsia="仿宋_GB2312"/>
          <w:color w:val="000000"/>
          <w:sz w:val="28"/>
        </w:rPr>
        <w:t>差异化策略</w:t>
      </w:r>
      <w:r>
        <w:rPr>
          <w:rFonts w:hint="eastAsia" w:ascii="仿宋_GB2312" w:hAnsi="仿宋" w:eastAsia="仿宋_GB2312"/>
          <w:color w:val="000000"/>
          <w:sz w:val="28"/>
        </w:rPr>
        <w:fldChar w:fldCharType="end"/>
      </w:r>
      <w:r>
        <w:rPr>
          <w:rFonts w:hint="eastAsia" w:ascii="仿宋_GB2312" w:hAnsi="仿宋" w:eastAsia="仿宋_GB2312"/>
          <w:color w:val="000000"/>
          <w:sz w:val="28"/>
        </w:rPr>
        <w:t>，科学合理地确定人才的培养目标和培养规格，集中力量进行重点建设，强化优势促进特色发展。</w:t>
      </w:r>
    </w:p>
    <w:p>
      <w:pPr>
        <w:adjustRightInd w:val="0"/>
        <w:snapToGrid w:val="0"/>
        <w:spacing w:line="360" w:lineRule="auto"/>
        <w:ind w:firstLine="562" w:firstLineChars="200"/>
        <w:jc w:val="left"/>
        <w:rPr>
          <w:rFonts w:ascii="仿宋_GB2312" w:hAnsi="仿宋" w:eastAsia="仿宋_GB2312"/>
          <w:b/>
          <w:color w:val="000000"/>
          <w:sz w:val="28"/>
        </w:rPr>
      </w:pPr>
      <w:r>
        <w:rPr>
          <w:rFonts w:hint="eastAsia" w:ascii="仿宋_GB2312" w:hAnsi="仿宋" w:eastAsia="仿宋_GB2312"/>
          <w:b/>
          <w:color w:val="000000"/>
          <w:sz w:val="28"/>
        </w:rPr>
        <w:t>（四）坚持工学结合，促进技术技能提升</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全面实行工学结合人才培养模式改革。制订体现课程内容与职业标准对接、教学过程与生产过程对接、毕业证书与职业资格证书对接的人才培养方案。加强实践教学环节，专业人才培养方案充分融入企业生产经营或服务流程，按照真实环境、真学真做和掌握真本领的要求实施教学。增加实训、实践的时间和内容，减少演示性和验证性实验，实训课程可单独设置，以使学生掌握从事专业领域实际工作的基本技能。深化复合型技术技能人才培养模式改革，推进</w:t>
      </w:r>
      <w:r>
        <w:rPr>
          <w:rFonts w:ascii="仿宋_GB2312" w:hAnsi="仿宋" w:eastAsia="仿宋_GB2312"/>
          <w:color w:val="000000"/>
          <w:sz w:val="28"/>
        </w:rPr>
        <w:t>1+X</w:t>
      </w:r>
      <w:r>
        <w:rPr>
          <w:rFonts w:hint="eastAsia" w:ascii="仿宋_GB2312" w:hAnsi="仿宋" w:eastAsia="仿宋_GB2312"/>
          <w:color w:val="000000"/>
          <w:sz w:val="28"/>
        </w:rPr>
        <w:t>证书制度建设，鼓励学生获得学历证书的同时，积极取得多类职业技能等级证书。</w:t>
      </w:r>
    </w:p>
    <w:p>
      <w:pPr>
        <w:adjustRightInd w:val="0"/>
        <w:snapToGrid w:val="0"/>
        <w:spacing w:line="360" w:lineRule="auto"/>
        <w:ind w:firstLine="562" w:firstLineChars="200"/>
        <w:jc w:val="left"/>
        <w:rPr>
          <w:rFonts w:ascii="仿宋_GB2312" w:hAnsi="仿宋" w:eastAsia="仿宋_GB2312"/>
          <w:b/>
          <w:color w:val="000000"/>
          <w:sz w:val="28"/>
        </w:rPr>
      </w:pPr>
      <w:r>
        <w:rPr>
          <w:rFonts w:hint="eastAsia" w:ascii="仿宋_GB2312" w:hAnsi="仿宋" w:eastAsia="仿宋_GB2312"/>
          <w:b/>
          <w:color w:val="000000"/>
          <w:sz w:val="28"/>
        </w:rPr>
        <w:t>（五）坚持以文化人，促进学生全面成长</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人才培养各个具体环节应融入“励志成才·匠心筑梦·爱心奉献”的“励园”品牌文化元素，</w:t>
      </w:r>
      <w:r>
        <w:rPr>
          <w:rFonts w:hint="eastAsia" w:ascii="仿宋_GB2312" w:hAnsi="仿宋" w:eastAsia="仿宋_GB2312"/>
          <w:color w:val="000000"/>
          <w:sz w:val="28"/>
          <w:lang w:eastAsia="zh-CN"/>
        </w:rPr>
        <w:t>传承弘扬船政文化，</w:t>
      </w:r>
      <w:r>
        <w:rPr>
          <w:rFonts w:hint="eastAsia" w:ascii="仿宋_GB2312" w:hAnsi="仿宋" w:eastAsia="仿宋_GB2312"/>
          <w:color w:val="000000"/>
          <w:sz w:val="28"/>
        </w:rPr>
        <w:t>创新专业文化育人载体与活动，搭建多种形式文化建设平台，营造专业文化育人氛围，将文化育人贯穿人才培养的全过程，满足学生成长需要，促进学生人人成才。</w:t>
      </w:r>
    </w:p>
    <w:p>
      <w:pPr>
        <w:adjustRightInd w:val="0"/>
        <w:snapToGrid w:val="0"/>
        <w:spacing w:line="360" w:lineRule="auto"/>
        <w:ind w:firstLine="562" w:firstLineChars="200"/>
        <w:jc w:val="left"/>
        <w:rPr>
          <w:rFonts w:ascii="仿宋_GB2312" w:hAnsi="仿宋" w:eastAsia="仿宋_GB2312"/>
          <w:b/>
          <w:color w:val="000000"/>
          <w:sz w:val="28"/>
        </w:rPr>
      </w:pPr>
      <w:r>
        <w:rPr>
          <w:rFonts w:hint="eastAsia" w:ascii="仿宋_GB2312" w:hAnsi="仿宋" w:eastAsia="仿宋_GB2312"/>
          <w:b/>
          <w:color w:val="000000"/>
          <w:sz w:val="28"/>
        </w:rPr>
        <w:t>（六）坚持三创培养，促进创新创业创造</w:t>
      </w:r>
    </w:p>
    <w:p>
      <w:pPr>
        <w:adjustRightInd w:val="0"/>
        <w:snapToGrid w:val="0"/>
        <w:spacing w:line="360" w:lineRule="auto"/>
        <w:ind w:firstLine="560" w:firstLineChars="200"/>
        <w:jc w:val="left"/>
        <w:rPr>
          <w:rFonts w:ascii="仿宋_GB2312" w:hAnsi="仿宋" w:eastAsia="仿宋_GB2312"/>
          <w:b/>
          <w:color w:val="000000"/>
          <w:sz w:val="28"/>
        </w:rPr>
      </w:pPr>
      <w:r>
        <w:rPr>
          <w:rFonts w:hint="eastAsia" w:ascii="仿宋_GB2312" w:hAnsi="仿宋" w:eastAsia="仿宋_GB2312"/>
          <w:color w:val="000000"/>
          <w:sz w:val="28"/>
        </w:rPr>
        <w:t>紧紧围绕深化高校创新创业创造教育改革，将创新创业创造能力培养纳入人才培养方案中，建立创新创业创造教育课程体系，强化学生职业生涯规划教育、开设创新创业基础课程，使用理实一体的创新创业教材，着力培养学生创新意识和创业精神，提高毕业生就业水平和服务能力，推进毕业生高质量就业创业，实现学生自主成长成才。</w:t>
      </w:r>
    </w:p>
    <w:p>
      <w:pPr>
        <w:adjustRightInd w:val="0"/>
        <w:snapToGrid w:val="0"/>
        <w:spacing w:line="360" w:lineRule="auto"/>
        <w:ind w:firstLine="562" w:firstLineChars="200"/>
        <w:jc w:val="left"/>
        <w:rPr>
          <w:rFonts w:ascii="仿宋_GB2312" w:hAnsi="仿宋" w:eastAsia="仿宋_GB2312"/>
          <w:b/>
          <w:color w:val="000000"/>
          <w:sz w:val="28"/>
        </w:rPr>
      </w:pPr>
      <w:r>
        <w:rPr>
          <w:rFonts w:hint="eastAsia" w:ascii="仿宋_GB2312" w:hAnsi="仿宋" w:eastAsia="仿宋_GB2312"/>
          <w:b/>
          <w:color w:val="000000"/>
          <w:sz w:val="28"/>
        </w:rPr>
        <w:t>（七）坚持多方参与，促进产教融合。</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人才培养方案规划设计、方案研究起草、论证审定等各环节要注重充分发挥行业企业作用，要充分考虑师生意见，广泛听取各方意见建议，避免闭门造车、照搬照用；方案整体设计应体现人才培养模式改革的新要求，将产教融合、校企合作落实到人才培养过程中，课程教学内容及时反映新知识、新技术、新工艺、新规范。</w:t>
      </w:r>
    </w:p>
    <w:p>
      <w:pPr>
        <w:adjustRightInd w:val="0"/>
        <w:snapToGrid w:val="0"/>
        <w:spacing w:line="360" w:lineRule="auto"/>
        <w:ind w:firstLine="562" w:firstLineChars="200"/>
        <w:jc w:val="left"/>
        <w:rPr>
          <w:rFonts w:ascii="仿宋_GB2312" w:hAnsi="仿宋" w:eastAsia="仿宋_GB2312"/>
          <w:b/>
          <w:color w:val="000000"/>
          <w:sz w:val="28"/>
        </w:rPr>
      </w:pPr>
      <w:r>
        <w:rPr>
          <w:rFonts w:hint="eastAsia" w:ascii="仿宋_GB2312" w:hAnsi="仿宋" w:eastAsia="仿宋_GB2312"/>
          <w:b/>
          <w:color w:val="000000"/>
          <w:sz w:val="28"/>
        </w:rPr>
        <w:t>（八）坚持科学规范，促进开放共享。</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方案制订流程规范，内容科学合理，适当兼顾前瞻性，文字表述严谨，体现专业人才培养方案作为学校教学基本文件的严肃性，具有可操作性；借鉴国际、国内先进经验，注重提炼打造职业教育教学领域的中国方案，体现中国特色、国际水平，在国际交流合作中促进专业人才培养方案的共建共享。</w:t>
      </w:r>
    </w:p>
    <w:p>
      <w:pPr>
        <w:adjustRightInd w:val="0"/>
        <w:snapToGrid w:val="0"/>
        <w:spacing w:line="360" w:lineRule="auto"/>
        <w:ind w:firstLine="562" w:firstLineChars="200"/>
        <w:jc w:val="left"/>
        <w:rPr>
          <w:rFonts w:ascii="黑体" w:hAnsi="黑体" w:eastAsia="黑体"/>
          <w:b/>
          <w:color w:val="000000"/>
          <w:sz w:val="28"/>
        </w:rPr>
      </w:pPr>
      <w:r>
        <w:rPr>
          <w:rFonts w:hint="eastAsia" w:ascii="黑体" w:hAnsi="黑体" w:eastAsia="黑体"/>
          <w:b/>
          <w:color w:val="000000"/>
          <w:sz w:val="28"/>
        </w:rPr>
        <w:t>三、人才培养方案的主要构成</w:t>
      </w:r>
    </w:p>
    <w:p>
      <w:pPr>
        <w:adjustRightInd w:val="0"/>
        <w:snapToGrid w:val="0"/>
        <w:spacing w:line="360" w:lineRule="auto"/>
        <w:ind w:firstLine="560" w:firstLineChars="200"/>
        <w:jc w:val="left"/>
        <w:rPr>
          <w:rFonts w:ascii="仿宋_GB2312" w:hAnsi="仿宋" w:eastAsia="仿宋_GB2312"/>
          <w:color w:val="000000"/>
          <w:sz w:val="28"/>
        </w:rPr>
      </w:pPr>
      <w:r>
        <w:rPr>
          <w:rFonts w:ascii="仿宋_GB2312" w:hAnsi="仿宋" w:eastAsia="仿宋_GB2312"/>
          <w:color w:val="000000"/>
          <w:sz w:val="28"/>
        </w:rPr>
        <w:t>1.</w:t>
      </w:r>
      <w:r>
        <w:rPr>
          <w:rFonts w:hint="eastAsia" w:ascii="仿宋_GB2312" w:hAnsi="仿宋" w:eastAsia="仿宋_GB2312"/>
          <w:color w:val="000000"/>
          <w:sz w:val="28"/>
        </w:rPr>
        <w:t>专业人才培养方案主要由人才的马克思主义理论素养、思想道德品质、通识素质和专业职业能力（专业技能）等四个主要方面的培养方案构成。</w:t>
      </w:r>
    </w:p>
    <w:p>
      <w:pPr>
        <w:adjustRightInd w:val="0"/>
        <w:snapToGrid w:val="0"/>
        <w:spacing w:line="360" w:lineRule="auto"/>
        <w:ind w:firstLine="560" w:firstLineChars="200"/>
        <w:jc w:val="left"/>
        <w:rPr>
          <w:rFonts w:ascii="仿宋_GB2312" w:hAnsi="仿宋" w:eastAsia="仿宋_GB2312"/>
          <w:color w:val="000000"/>
          <w:sz w:val="28"/>
        </w:rPr>
      </w:pPr>
      <w:r>
        <w:rPr>
          <w:rFonts w:ascii="仿宋_GB2312" w:hAnsi="仿宋" w:eastAsia="仿宋_GB2312"/>
          <w:color w:val="000000"/>
          <w:sz w:val="28"/>
        </w:rPr>
        <w:t>2.</w:t>
      </w:r>
      <w:r>
        <w:rPr>
          <w:rFonts w:hint="eastAsia" w:ascii="仿宋_GB2312" w:hAnsi="仿宋" w:eastAsia="仿宋_GB2312"/>
          <w:color w:val="000000"/>
          <w:sz w:val="28"/>
        </w:rPr>
        <w:t>人才的思想道德修养主要通过思想政治教育课程、专业课以及第二、三课堂进行培养。</w:t>
      </w:r>
    </w:p>
    <w:p>
      <w:pPr>
        <w:adjustRightInd w:val="0"/>
        <w:snapToGrid w:val="0"/>
        <w:spacing w:line="360" w:lineRule="auto"/>
        <w:ind w:firstLine="560" w:firstLineChars="200"/>
        <w:jc w:val="left"/>
        <w:rPr>
          <w:rFonts w:ascii="仿宋_GB2312" w:hAnsi="仿宋" w:eastAsia="仿宋_GB2312"/>
          <w:color w:val="000000"/>
          <w:sz w:val="28"/>
        </w:rPr>
      </w:pPr>
      <w:r>
        <w:rPr>
          <w:rFonts w:ascii="仿宋_GB2312" w:hAnsi="仿宋" w:eastAsia="仿宋_GB2312"/>
          <w:color w:val="000000"/>
          <w:sz w:val="28"/>
        </w:rPr>
        <w:t>3.</w:t>
      </w:r>
      <w:r>
        <w:rPr>
          <w:rFonts w:hint="eastAsia" w:ascii="仿宋_GB2312" w:hAnsi="仿宋" w:eastAsia="仿宋_GB2312"/>
          <w:color w:val="000000"/>
          <w:sz w:val="28"/>
        </w:rPr>
        <w:t>人才的通识素质主要包含自然社科的文化类、</w:t>
      </w:r>
      <w:r>
        <w:rPr>
          <w:rFonts w:hint="eastAsia" w:ascii="仿宋_GB2312" w:eastAsia="仿宋_GB2312"/>
          <w:color w:val="000000"/>
          <w:sz w:val="28"/>
        </w:rPr>
        <w:t>艺术素质、心理健康教育类、军事理论类、体育类</w:t>
      </w:r>
      <w:r>
        <w:rPr>
          <w:rFonts w:hint="eastAsia" w:ascii="仿宋_GB2312" w:hAnsi="仿宋" w:eastAsia="仿宋_GB2312"/>
          <w:color w:val="000000"/>
          <w:sz w:val="28"/>
        </w:rPr>
        <w:t>等多个维度的素质培养，主要通过通识课程教学体系和第二、三课堂进行培养。</w:t>
      </w:r>
    </w:p>
    <w:p>
      <w:pPr>
        <w:adjustRightInd w:val="0"/>
        <w:snapToGrid w:val="0"/>
        <w:spacing w:line="360" w:lineRule="auto"/>
        <w:ind w:firstLine="560" w:firstLineChars="200"/>
        <w:jc w:val="left"/>
        <w:rPr>
          <w:rFonts w:ascii="仿宋_GB2312" w:hAnsi="仿宋" w:eastAsia="仿宋_GB2312"/>
          <w:color w:val="000000"/>
          <w:sz w:val="28"/>
        </w:rPr>
      </w:pPr>
      <w:r>
        <w:rPr>
          <w:rFonts w:ascii="仿宋_GB2312" w:hAnsi="仿宋" w:eastAsia="仿宋_GB2312"/>
          <w:color w:val="000000"/>
          <w:sz w:val="28"/>
        </w:rPr>
        <w:t>4.</w:t>
      </w:r>
      <w:r>
        <w:rPr>
          <w:rFonts w:hint="eastAsia" w:ascii="仿宋_GB2312" w:hAnsi="仿宋" w:eastAsia="仿宋_GB2312"/>
          <w:color w:val="000000"/>
          <w:sz w:val="28"/>
        </w:rPr>
        <w:t>专业人才培养方案一般应包括专业名称及代码、入学要求、修业年限、职业面向、培养目标与培养规格、课程设置、学时安排、教学进程总体安排、实施保障、毕业要求等内容，并附教学进程安排表。</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各专业可根据区域经济发展和产业发展实际、学校办学定位和专业特色等适当扩充人才培养方案要素。</w:t>
      </w:r>
    </w:p>
    <w:p>
      <w:pPr>
        <w:adjustRightInd w:val="0"/>
        <w:snapToGrid w:val="0"/>
        <w:spacing w:line="360" w:lineRule="auto"/>
        <w:ind w:firstLine="562" w:firstLineChars="200"/>
        <w:jc w:val="left"/>
        <w:rPr>
          <w:rFonts w:ascii="黑体" w:hAnsi="黑体" w:eastAsia="黑体"/>
          <w:b/>
          <w:color w:val="000000"/>
          <w:sz w:val="28"/>
        </w:rPr>
      </w:pPr>
      <w:r>
        <w:rPr>
          <w:rFonts w:hint="eastAsia" w:ascii="黑体" w:hAnsi="黑体" w:eastAsia="黑体"/>
          <w:b/>
          <w:color w:val="000000"/>
          <w:sz w:val="28"/>
        </w:rPr>
        <w:t>四、教学活动的总体要求</w:t>
      </w:r>
    </w:p>
    <w:p>
      <w:pPr>
        <w:adjustRightInd w:val="0"/>
        <w:snapToGrid w:val="0"/>
        <w:spacing w:line="360" w:lineRule="auto"/>
        <w:ind w:firstLine="562" w:firstLineChars="200"/>
        <w:jc w:val="left"/>
        <w:rPr>
          <w:rFonts w:ascii="仿宋_GB2312" w:hAnsi="仿宋" w:eastAsia="仿宋_GB2312"/>
          <w:b/>
          <w:color w:val="000000"/>
          <w:sz w:val="28"/>
        </w:rPr>
      </w:pPr>
      <w:r>
        <w:rPr>
          <w:rFonts w:hint="eastAsia" w:ascii="仿宋_GB2312" w:hAnsi="仿宋" w:eastAsia="仿宋_GB2312"/>
          <w:b/>
          <w:color w:val="000000"/>
          <w:sz w:val="28"/>
        </w:rPr>
        <w:t>（一）教学活动的属性设置</w:t>
      </w:r>
    </w:p>
    <w:p>
      <w:pPr>
        <w:adjustRightInd w:val="0"/>
        <w:snapToGrid w:val="0"/>
        <w:spacing w:line="360" w:lineRule="auto"/>
        <w:ind w:firstLine="560" w:firstLineChars="200"/>
        <w:jc w:val="left"/>
        <w:rPr>
          <w:rFonts w:ascii="仿宋_GB2312" w:hAnsi="仿宋" w:eastAsia="仿宋_GB2312"/>
          <w:color w:val="000000"/>
          <w:sz w:val="28"/>
        </w:rPr>
      </w:pPr>
      <w:r>
        <w:rPr>
          <w:rFonts w:ascii="仿宋_GB2312" w:hAnsi="仿宋" w:eastAsia="仿宋_GB2312"/>
          <w:color w:val="000000"/>
          <w:sz w:val="28"/>
        </w:rPr>
        <w:t>1.</w:t>
      </w:r>
      <w:r>
        <w:rPr>
          <w:rFonts w:hint="eastAsia" w:ascii="仿宋_GB2312" w:hAnsi="仿宋" w:eastAsia="仿宋_GB2312"/>
          <w:color w:val="000000"/>
          <w:sz w:val="28"/>
        </w:rPr>
        <w:t>教学活动的时空间上，可以划分为课内教学活动和课外教学活动。</w:t>
      </w:r>
    </w:p>
    <w:p>
      <w:pPr>
        <w:adjustRightInd w:val="0"/>
        <w:snapToGrid w:val="0"/>
        <w:spacing w:line="360" w:lineRule="auto"/>
        <w:ind w:firstLine="562" w:firstLineChars="200"/>
        <w:jc w:val="left"/>
        <w:rPr>
          <w:rFonts w:ascii="仿宋_GB2312" w:hAnsi="仿宋" w:eastAsia="仿宋_GB2312"/>
          <w:color w:val="000000"/>
          <w:sz w:val="28"/>
        </w:rPr>
      </w:pPr>
      <w:r>
        <w:rPr>
          <w:rFonts w:hint="eastAsia" w:ascii="仿宋_GB2312" w:hAnsi="仿宋" w:eastAsia="仿宋_GB2312"/>
          <w:b/>
          <w:color w:val="000000"/>
          <w:sz w:val="28"/>
        </w:rPr>
        <w:t>课内教学活动</w:t>
      </w:r>
      <w:r>
        <w:rPr>
          <w:rFonts w:hint="eastAsia" w:ascii="仿宋_GB2312" w:hAnsi="仿宋" w:eastAsia="仿宋_GB2312"/>
          <w:color w:val="000000"/>
          <w:sz w:val="28"/>
        </w:rPr>
        <w:t>是教师为主导、学生为主体的，在固定场所和时间实施的课程教学活动。如理论教学、理实一体化教学、实践教学等。课内教学活动必须计入人才培养方案相应学时、学分。</w:t>
      </w:r>
    </w:p>
    <w:p>
      <w:pPr>
        <w:adjustRightInd w:val="0"/>
        <w:snapToGrid w:val="0"/>
        <w:spacing w:line="360" w:lineRule="auto"/>
        <w:ind w:firstLine="562" w:firstLineChars="200"/>
        <w:jc w:val="left"/>
        <w:rPr>
          <w:rFonts w:ascii="仿宋_GB2312" w:hAnsi="仿宋" w:eastAsia="仿宋_GB2312"/>
          <w:color w:val="000000"/>
          <w:sz w:val="28"/>
        </w:rPr>
      </w:pPr>
      <w:r>
        <w:rPr>
          <w:rFonts w:hint="eastAsia" w:ascii="仿宋_GB2312" w:hAnsi="仿宋" w:eastAsia="仿宋_GB2312"/>
          <w:b/>
          <w:color w:val="000000"/>
          <w:sz w:val="28"/>
        </w:rPr>
        <w:t>课外教学活动</w:t>
      </w:r>
      <w:r>
        <w:rPr>
          <w:rFonts w:hint="eastAsia" w:ascii="仿宋_GB2312" w:hAnsi="仿宋" w:eastAsia="仿宋_GB2312"/>
          <w:color w:val="000000"/>
          <w:sz w:val="28"/>
        </w:rPr>
        <w:t>是学生自主、教师辅助，学生自定场所、时间实施的教学活动，是课内教学活动的延续和必要补充。如课余线上学习和技术技能操作训练、假期社会实践活动、体育活动、文艺活动、社会公益活动、第二三课堂活动等。</w:t>
      </w:r>
      <w:r>
        <w:rPr>
          <w:rFonts w:hint="eastAsia" w:ascii="仿宋_GB2312" w:hAnsi="仿宋" w:eastAsia="仿宋_GB2312"/>
          <w:b/>
          <w:color w:val="000000"/>
          <w:sz w:val="28"/>
        </w:rPr>
        <w:t>课外教学活动一般不计入课内学时，但是可以计为相应学分</w:t>
      </w:r>
      <w:r>
        <w:rPr>
          <w:rFonts w:hint="eastAsia" w:ascii="仿宋_GB2312" w:hAnsi="仿宋" w:eastAsia="仿宋_GB2312"/>
          <w:color w:val="000000"/>
          <w:sz w:val="28"/>
        </w:rPr>
        <w:t>。</w:t>
      </w:r>
    </w:p>
    <w:p>
      <w:pPr>
        <w:adjustRightInd w:val="0"/>
        <w:snapToGrid w:val="0"/>
        <w:spacing w:line="360" w:lineRule="auto"/>
        <w:ind w:firstLine="560" w:firstLineChars="200"/>
        <w:jc w:val="left"/>
        <w:rPr>
          <w:rFonts w:ascii="仿宋_GB2312" w:hAnsi="仿宋" w:eastAsia="仿宋_GB2312"/>
          <w:color w:val="000000"/>
          <w:sz w:val="28"/>
        </w:rPr>
      </w:pPr>
      <w:r>
        <w:rPr>
          <w:rFonts w:ascii="仿宋_GB2312" w:hAnsi="仿宋" w:eastAsia="仿宋_GB2312"/>
          <w:color w:val="000000"/>
          <w:sz w:val="28"/>
        </w:rPr>
        <w:t>2.</w:t>
      </w:r>
      <w:r>
        <w:rPr>
          <w:rFonts w:hint="eastAsia" w:ascii="仿宋_GB2312" w:hAnsi="仿宋" w:eastAsia="仿宋_GB2312"/>
          <w:color w:val="000000"/>
          <w:sz w:val="28"/>
        </w:rPr>
        <w:t>教学活动的形式上，可以划分为理论教学、理实一体化教学、实践教学。教学形式由课程主管系（部、院）根据相关文件精神和职业教育专业建设要求的实际情况设定。</w:t>
      </w:r>
    </w:p>
    <w:p>
      <w:pPr>
        <w:adjustRightInd w:val="0"/>
        <w:snapToGrid w:val="0"/>
        <w:spacing w:line="360" w:lineRule="auto"/>
        <w:ind w:firstLine="562" w:firstLineChars="200"/>
        <w:jc w:val="left"/>
        <w:rPr>
          <w:rFonts w:ascii="仿宋_GB2312" w:hAnsi="仿宋" w:eastAsia="仿宋_GB2312"/>
          <w:color w:val="000000"/>
          <w:sz w:val="28"/>
        </w:rPr>
      </w:pPr>
      <w:r>
        <w:rPr>
          <w:rFonts w:hint="eastAsia" w:ascii="仿宋_GB2312" w:hAnsi="仿宋" w:eastAsia="仿宋_GB2312"/>
          <w:b/>
          <w:color w:val="000000"/>
          <w:sz w:val="28"/>
        </w:rPr>
        <w:t>理论教学</w:t>
      </w:r>
      <w:r>
        <w:rPr>
          <w:rFonts w:hint="eastAsia" w:ascii="仿宋_GB2312" w:hAnsi="仿宋" w:eastAsia="仿宋_GB2312"/>
          <w:color w:val="000000"/>
          <w:sz w:val="28"/>
        </w:rPr>
        <w:t>是以知识原理的掌握及应用为主要内容的教学活动。包括课堂讲授、演示、讨论、习题练习等教学环节。</w:t>
      </w:r>
    </w:p>
    <w:p>
      <w:pPr>
        <w:adjustRightInd w:val="0"/>
        <w:snapToGrid w:val="0"/>
        <w:spacing w:line="360" w:lineRule="auto"/>
        <w:ind w:firstLine="562" w:firstLineChars="200"/>
        <w:jc w:val="left"/>
        <w:rPr>
          <w:rFonts w:ascii="仿宋_GB2312" w:hAnsi="仿宋" w:eastAsia="仿宋_GB2312"/>
          <w:color w:val="000000"/>
          <w:sz w:val="28"/>
        </w:rPr>
      </w:pPr>
      <w:r>
        <w:rPr>
          <w:rFonts w:hint="eastAsia" w:ascii="仿宋_GB2312" w:hAnsi="仿宋" w:eastAsia="仿宋_GB2312"/>
          <w:b/>
          <w:color w:val="000000"/>
          <w:sz w:val="28"/>
        </w:rPr>
        <w:t>理实一体化教学</w:t>
      </w:r>
      <w:r>
        <w:rPr>
          <w:rFonts w:hint="eastAsia" w:ascii="仿宋_GB2312" w:hAnsi="仿宋" w:eastAsia="仿宋_GB2312"/>
          <w:color w:val="000000"/>
          <w:sz w:val="28"/>
        </w:rPr>
        <w:t>是以课程内部单项技术技能的掌握为主要内容的教学活动。包括知识原理的课堂讲授、技术技能的操作示范、实操训练和讨论研究等教学环节。理实一体化课程中实践教学占课程学时比，工科一般不低于</w:t>
      </w:r>
      <w:r>
        <w:rPr>
          <w:rFonts w:ascii="仿宋_GB2312" w:hAnsi="仿宋" w:eastAsia="仿宋_GB2312"/>
          <w:color w:val="000000"/>
          <w:sz w:val="28"/>
        </w:rPr>
        <w:t>50%</w:t>
      </w:r>
      <w:r>
        <w:rPr>
          <w:rFonts w:hint="eastAsia" w:ascii="仿宋_GB2312" w:hAnsi="仿宋" w:eastAsia="仿宋_GB2312"/>
          <w:color w:val="000000"/>
          <w:sz w:val="28"/>
        </w:rPr>
        <w:t>，文科一般不低于</w:t>
      </w:r>
      <w:r>
        <w:rPr>
          <w:rFonts w:ascii="仿宋_GB2312" w:hAnsi="仿宋" w:eastAsia="仿宋_GB2312"/>
          <w:color w:val="000000"/>
          <w:sz w:val="28"/>
        </w:rPr>
        <w:t>40%</w:t>
      </w:r>
      <w:r>
        <w:rPr>
          <w:rFonts w:hint="eastAsia" w:ascii="仿宋_GB2312" w:hAnsi="仿宋" w:eastAsia="仿宋_GB2312"/>
          <w:color w:val="000000"/>
          <w:sz w:val="28"/>
        </w:rPr>
        <w:t>。</w:t>
      </w:r>
    </w:p>
    <w:p>
      <w:pPr>
        <w:adjustRightInd w:val="0"/>
        <w:snapToGrid w:val="0"/>
        <w:spacing w:line="360" w:lineRule="auto"/>
        <w:ind w:firstLine="562" w:firstLineChars="200"/>
        <w:jc w:val="left"/>
        <w:rPr>
          <w:rFonts w:ascii="仿宋_GB2312" w:hAnsi="仿宋" w:eastAsia="仿宋_GB2312"/>
          <w:color w:val="000000"/>
          <w:sz w:val="28"/>
        </w:rPr>
      </w:pPr>
      <w:r>
        <w:rPr>
          <w:rFonts w:hint="eastAsia" w:ascii="仿宋_GB2312" w:hAnsi="仿宋" w:eastAsia="仿宋_GB2312"/>
          <w:b/>
          <w:color w:val="000000"/>
          <w:sz w:val="28"/>
        </w:rPr>
        <w:t>实践教学</w:t>
      </w:r>
      <w:r>
        <w:rPr>
          <w:rFonts w:hint="eastAsia" w:ascii="仿宋_GB2312" w:hAnsi="仿宋" w:eastAsia="仿宋_GB2312"/>
          <w:color w:val="000000"/>
          <w:sz w:val="28"/>
        </w:rPr>
        <w:t>是在社会实际环境、职业岗位（或虚拟仿真）中，在教师指导下学生综合运用多项技术技能完成相应工作任务的教学活动。实践教学必须贯彻落实</w:t>
      </w:r>
      <w:r>
        <w:fldChar w:fldCharType="begin"/>
      </w:r>
      <w:r>
        <w:instrText xml:space="preserve"> HYPERLINK \l "#" \t "_blank" </w:instrText>
      </w:r>
      <w:r>
        <w:fldChar w:fldCharType="separate"/>
      </w:r>
      <w:r>
        <w:rPr>
          <w:rFonts w:hint="eastAsia" w:ascii="仿宋_GB2312" w:hAnsi="仿宋" w:eastAsia="仿宋_GB2312"/>
          <w:color w:val="000000"/>
          <w:sz w:val="28"/>
        </w:rPr>
        <w:t>实践育人</w:t>
      </w:r>
      <w:r>
        <w:rPr>
          <w:rFonts w:hint="eastAsia" w:ascii="仿宋_GB2312" w:hAnsi="仿宋" w:eastAsia="仿宋_GB2312"/>
          <w:color w:val="000000"/>
          <w:sz w:val="28"/>
        </w:rPr>
        <w:fldChar w:fldCharType="end"/>
      </w:r>
      <w:r>
        <w:rPr>
          <w:rFonts w:hint="eastAsia"/>
          <w:color w:val="000000"/>
          <w:sz w:val="21"/>
        </w:rPr>
        <w:t>，</w:t>
      </w:r>
      <w:r>
        <w:rPr>
          <w:rFonts w:hint="eastAsia" w:ascii="仿宋_GB2312" w:hAnsi="仿宋" w:eastAsia="仿宋_GB2312"/>
          <w:color w:val="000000"/>
          <w:sz w:val="28"/>
        </w:rPr>
        <w:t>具体要求按照我校实践教学体系建设相关文件执行。包括属于独立设置职业技能专周实训、认识实习、跟岗实习、顶岗实习、毕业设计（或毕业论文、毕业实习专题报告）和属于列入培养方案中计入学分的课外教学活动的文体活动、社会实践、公益活动等必修教学环节的第二、三课堂活动。</w:t>
      </w:r>
    </w:p>
    <w:p>
      <w:pPr>
        <w:adjustRightInd w:val="0"/>
        <w:snapToGrid w:val="0"/>
        <w:spacing w:line="360" w:lineRule="auto"/>
        <w:ind w:firstLine="560" w:firstLineChars="200"/>
        <w:jc w:val="left"/>
        <w:rPr>
          <w:rFonts w:ascii="仿宋_GB2312" w:hAnsi="仿宋" w:eastAsia="仿宋_GB2312"/>
          <w:color w:val="000000"/>
          <w:sz w:val="28"/>
        </w:rPr>
      </w:pPr>
      <w:r>
        <w:rPr>
          <w:rFonts w:ascii="仿宋_GB2312" w:hAnsi="仿宋" w:eastAsia="仿宋_GB2312"/>
          <w:color w:val="000000"/>
          <w:sz w:val="28"/>
        </w:rPr>
        <w:t>3.</w:t>
      </w:r>
      <w:r>
        <w:rPr>
          <w:rFonts w:hint="eastAsia" w:ascii="仿宋_GB2312" w:hAnsi="仿宋" w:eastAsia="仿宋_GB2312"/>
          <w:color w:val="000000"/>
          <w:sz w:val="28"/>
        </w:rPr>
        <w:t>教学活动的属性上，可以划分为必修课程、选修课程。</w:t>
      </w:r>
    </w:p>
    <w:p>
      <w:pPr>
        <w:adjustRightInd w:val="0"/>
        <w:snapToGrid w:val="0"/>
        <w:spacing w:line="360" w:lineRule="auto"/>
        <w:ind w:firstLine="562" w:firstLineChars="200"/>
        <w:jc w:val="left"/>
        <w:rPr>
          <w:rFonts w:ascii="仿宋_GB2312" w:hAnsi="仿宋" w:eastAsia="仿宋_GB2312"/>
          <w:color w:val="000000"/>
          <w:sz w:val="28"/>
        </w:rPr>
      </w:pPr>
      <w:r>
        <w:rPr>
          <w:rFonts w:hint="eastAsia" w:ascii="仿宋_GB2312" w:hAnsi="仿宋" w:eastAsia="仿宋_GB2312"/>
          <w:b/>
          <w:color w:val="000000"/>
          <w:sz w:val="28"/>
        </w:rPr>
        <w:t>必修课程</w:t>
      </w:r>
      <w:r>
        <w:rPr>
          <w:rFonts w:hint="eastAsia" w:ascii="仿宋_GB2312" w:hAnsi="仿宋" w:eastAsia="仿宋_GB2312"/>
          <w:color w:val="000000"/>
          <w:sz w:val="28"/>
        </w:rPr>
        <w:t>是学生必须取得该课程成绩及格以上的根据培养目标、培养规格、毕业要求规定的马克思主义理论素养、思想道德品质、通识素质和专业职业能力等四个主要方面的培养课程。必修课程未取得合格者，不具有毕业资格。</w:t>
      </w:r>
    </w:p>
    <w:p>
      <w:pPr>
        <w:adjustRightInd w:val="0"/>
        <w:snapToGrid w:val="0"/>
        <w:spacing w:line="360" w:lineRule="auto"/>
        <w:ind w:firstLine="562" w:firstLineChars="200"/>
        <w:jc w:val="left"/>
        <w:rPr>
          <w:rFonts w:ascii="仿宋_GB2312" w:hAnsi="仿宋" w:eastAsia="仿宋_GB2312"/>
          <w:color w:val="000000"/>
          <w:sz w:val="28"/>
        </w:rPr>
      </w:pPr>
      <w:r>
        <w:rPr>
          <w:rFonts w:hint="eastAsia" w:ascii="仿宋_GB2312" w:hAnsi="仿宋" w:eastAsia="仿宋_GB2312"/>
          <w:b/>
          <w:color w:val="000000"/>
          <w:sz w:val="28"/>
        </w:rPr>
        <w:t>选修课程</w:t>
      </w:r>
      <w:r>
        <w:rPr>
          <w:rFonts w:hint="eastAsia" w:ascii="仿宋_GB2312" w:hAnsi="仿宋" w:eastAsia="仿宋_GB2312"/>
          <w:color w:val="000000"/>
          <w:sz w:val="28"/>
        </w:rPr>
        <w:t>是学生根据个人兴趣爱好和未来职业拓展的需要，自由选择修习的课程。选修课由通识教育选修课和专业选修课组成，中、高职选修课教学时数占总学时的比例均不少于</w:t>
      </w:r>
      <w:r>
        <w:rPr>
          <w:rFonts w:ascii="仿宋_GB2312" w:hAnsi="仿宋" w:eastAsia="仿宋_GB2312"/>
          <w:color w:val="000000"/>
          <w:sz w:val="28"/>
        </w:rPr>
        <w:t>10%</w:t>
      </w:r>
      <w:r>
        <w:rPr>
          <w:rFonts w:hint="eastAsia" w:ascii="仿宋_GB2312" w:hAnsi="仿宋" w:eastAsia="仿宋_GB2312"/>
          <w:color w:val="000000"/>
          <w:sz w:val="28"/>
        </w:rPr>
        <w:t>。</w:t>
      </w:r>
    </w:p>
    <w:p>
      <w:pPr>
        <w:adjustRightInd w:val="0"/>
        <w:snapToGrid w:val="0"/>
        <w:spacing w:line="360" w:lineRule="auto"/>
        <w:ind w:firstLine="560" w:firstLineChars="200"/>
        <w:jc w:val="left"/>
        <w:rPr>
          <w:rFonts w:ascii="仿宋_GB2312" w:hAnsi="仿宋" w:eastAsia="仿宋_GB2312"/>
          <w:color w:val="000000"/>
          <w:sz w:val="28"/>
        </w:rPr>
      </w:pPr>
      <w:r>
        <w:rPr>
          <w:rFonts w:ascii="仿宋_GB2312" w:hAnsi="仿宋" w:eastAsia="仿宋_GB2312"/>
          <w:color w:val="000000"/>
          <w:sz w:val="28"/>
        </w:rPr>
        <w:t>4.</w:t>
      </w:r>
      <w:r>
        <w:rPr>
          <w:rFonts w:hint="eastAsia" w:ascii="仿宋_GB2312" w:hAnsi="仿宋" w:eastAsia="仿宋_GB2312"/>
          <w:color w:val="000000"/>
          <w:sz w:val="28"/>
        </w:rPr>
        <w:t>教学活动的考核方式上，可以划分为考试课程、考查课程。教学活动的考核按照《福州职业技术学院课程考核管理办法》组织实施。</w:t>
      </w:r>
    </w:p>
    <w:p>
      <w:pPr>
        <w:adjustRightInd w:val="0"/>
        <w:snapToGrid w:val="0"/>
        <w:spacing w:line="360" w:lineRule="auto"/>
        <w:ind w:firstLine="562" w:firstLineChars="200"/>
        <w:jc w:val="left"/>
        <w:rPr>
          <w:rFonts w:ascii="仿宋_GB2312" w:hAnsi="仿宋" w:eastAsia="仿宋_GB2312"/>
          <w:color w:val="000000"/>
          <w:sz w:val="28"/>
        </w:rPr>
      </w:pPr>
      <w:r>
        <w:rPr>
          <w:rFonts w:hint="eastAsia" w:ascii="仿宋_GB2312" w:hAnsi="仿宋" w:eastAsia="仿宋_GB2312"/>
          <w:b/>
          <w:color w:val="000000"/>
          <w:sz w:val="28"/>
        </w:rPr>
        <w:t>考试课程</w:t>
      </w:r>
      <w:r>
        <w:rPr>
          <w:rFonts w:hint="eastAsia" w:ascii="仿宋_GB2312" w:hAnsi="仿宋" w:eastAsia="仿宋_GB2312"/>
          <w:color w:val="000000"/>
          <w:sz w:val="28"/>
        </w:rPr>
        <w:t>由学校统一组织安排期末考试。</w:t>
      </w:r>
      <w:r>
        <w:rPr>
          <w:rFonts w:hint="eastAsia" w:ascii="仿宋_GB2312" w:hAnsi="仿宋" w:eastAsia="仿宋_GB2312"/>
          <w:b/>
          <w:color w:val="000000"/>
          <w:sz w:val="28"/>
        </w:rPr>
        <w:t>考查课程</w:t>
      </w:r>
      <w:r>
        <w:rPr>
          <w:rFonts w:hint="eastAsia" w:ascii="仿宋_GB2312" w:hAnsi="仿宋" w:eastAsia="仿宋_GB2312"/>
          <w:color w:val="000000"/>
          <w:sz w:val="28"/>
        </w:rPr>
        <w:t>由任课教师于期末考试前自行组织考核。</w:t>
      </w:r>
    </w:p>
    <w:p>
      <w:pPr>
        <w:widowControl/>
        <w:adjustRightInd w:val="0"/>
        <w:snapToGrid w:val="0"/>
        <w:spacing w:line="360" w:lineRule="auto"/>
        <w:ind w:firstLine="562" w:firstLineChars="200"/>
        <w:jc w:val="left"/>
        <w:rPr>
          <w:rFonts w:ascii="仿宋_GB2312" w:eastAsia="仿宋_GB2312"/>
          <w:b/>
          <w:color w:val="000000"/>
          <w:sz w:val="28"/>
        </w:rPr>
      </w:pPr>
      <w:r>
        <w:rPr>
          <w:rFonts w:hint="eastAsia" w:ascii="仿宋_GB2312" w:eastAsia="仿宋_GB2312"/>
          <w:b/>
          <w:color w:val="000000"/>
          <w:sz w:val="28"/>
        </w:rPr>
        <w:t>（二）学时安排</w:t>
      </w:r>
    </w:p>
    <w:p>
      <w:pPr>
        <w:adjustRightInd w:val="0"/>
        <w:snapToGrid w:val="0"/>
        <w:spacing w:line="360" w:lineRule="auto"/>
        <w:ind w:firstLine="560" w:firstLineChars="200"/>
        <w:jc w:val="left"/>
        <w:rPr>
          <w:rFonts w:ascii="仿宋_GB2312" w:hAnsi="仿宋" w:eastAsia="仿宋_GB2312"/>
          <w:color w:val="000000" w:themeColor="text1"/>
          <w:sz w:val="28"/>
        </w:rPr>
      </w:pPr>
      <w:r>
        <w:rPr>
          <w:rFonts w:hint="eastAsia" w:ascii="仿宋_GB2312" w:hAnsi="仿宋" w:eastAsia="仿宋_GB2312"/>
          <w:color w:val="000000" w:themeColor="text1"/>
          <w:sz w:val="28"/>
        </w:rPr>
        <w:t>1. 五年制专业的总学时不少于4</w:t>
      </w:r>
      <w:r>
        <w:rPr>
          <w:rFonts w:hint="eastAsia" w:ascii="仿宋_GB2312" w:hAnsi="仿宋" w:eastAsia="仿宋_GB2312"/>
          <w:color w:val="000000" w:themeColor="text1"/>
          <w:sz w:val="28"/>
          <w:lang w:val="en-US" w:eastAsia="zh-CN"/>
        </w:rPr>
        <w:t>700</w:t>
      </w:r>
      <w:r>
        <w:rPr>
          <w:rFonts w:hint="eastAsia" w:ascii="仿宋_GB2312" w:hAnsi="仿宋" w:eastAsia="仿宋_GB2312"/>
          <w:color w:val="000000" w:themeColor="text1"/>
          <w:sz w:val="28"/>
        </w:rPr>
        <w:t>学时。中职阶段总学时不少于3000学时，其中公共基础课程的学时一般占总学时的1/3，不低于1000学时。高职阶段不低于1</w:t>
      </w:r>
      <w:r>
        <w:rPr>
          <w:rFonts w:hint="eastAsia" w:ascii="仿宋_GB2312" w:hAnsi="仿宋" w:eastAsia="仿宋_GB2312"/>
          <w:color w:val="000000" w:themeColor="text1"/>
          <w:sz w:val="28"/>
          <w:lang w:val="en-US" w:eastAsia="zh-CN"/>
        </w:rPr>
        <w:t>70</w:t>
      </w:r>
      <w:r>
        <w:rPr>
          <w:rFonts w:hint="eastAsia" w:ascii="仿宋_GB2312" w:hAnsi="仿宋" w:eastAsia="仿宋_GB2312"/>
          <w:color w:val="000000" w:themeColor="text1"/>
          <w:sz w:val="28"/>
        </w:rPr>
        <w:t>0学时，公共基础课程学时不少于总学时的1/4。教学活动总学时是指列入培养方案中计入学时的通识和专业（含独立设置实践教学环节）课程的课内教学活动之和的总学时。其中，文科实践教学不少于总学时</w:t>
      </w:r>
      <w:r>
        <w:rPr>
          <w:rFonts w:ascii="仿宋_GB2312" w:hAnsi="仿宋" w:eastAsia="仿宋_GB2312"/>
          <w:color w:val="000000" w:themeColor="text1"/>
          <w:sz w:val="28"/>
        </w:rPr>
        <w:t>50%</w:t>
      </w:r>
      <w:r>
        <w:rPr>
          <w:rFonts w:hint="eastAsia" w:ascii="仿宋_GB2312" w:hAnsi="仿宋" w:eastAsia="仿宋_GB2312"/>
          <w:color w:val="000000" w:themeColor="text1"/>
          <w:sz w:val="28"/>
        </w:rPr>
        <w:t>、理工科实践教学不少于总学时</w:t>
      </w:r>
      <w:r>
        <w:rPr>
          <w:rFonts w:ascii="仿宋_GB2312" w:hAnsi="仿宋" w:eastAsia="仿宋_GB2312"/>
          <w:color w:val="000000" w:themeColor="text1"/>
          <w:sz w:val="28"/>
        </w:rPr>
        <w:t>60%</w:t>
      </w:r>
      <w:r>
        <w:rPr>
          <w:rFonts w:hint="eastAsia" w:ascii="仿宋_GB2312" w:hAnsi="仿宋" w:eastAsia="仿宋_GB2312"/>
          <w:color w:val="000000" w:themeColor="text1"/>
          <w:sz w:val="28"/>
        </w:rPr>
        <w:t>。</w:t>
      </w:r>
    </w:p>
    <w:p>
      <w:pPr>
        <w:adjustRightInd w:val="0"/>
        <w:snapToGrid w:val="0"/>
        <w:spacing w:line="360" w:lineRule="auto"/>
        <w:ind w:firstLine="560" w:firstLineChars="200"/>
        <w:jc w:val="left"/>
        <w:rPr>
          <w:rFonts w:ascii="仿宋_GB2312" w:hAnsi="仿宋" w:eastAsia="仿宋_GB2312"/>
          <w:color w:val="000000"/>
          <w:sz w:val="28"/>
        </w:rPr>
      </w:pPr>
      <w:r>
        <w:rPr>
          <w:rFonts w:ascii="仿宋_GB2312" w:hAnsi="仿宋" w:eastAsia="仿宋_GB2312"/>
          <w:color w:val="000000"/>
          <w:sz w:val="28"/>
        </w:rPr>
        <w:t>2.</w:t>
      </w:r>
      <w:r>
        <w:rPr>
          <w:rFonts w:hint="eastAsia" w:ascii="仿宋_GB2312" w:hAnsi="仿宋" w:eastAsia="仿宋_GB2312"/>
          <w:color w:val="000000"/>
          <w:sz w:val="28"/>
        </w:rPr>
        <w:t>每学期教学周数（含独立设置、集中进行的职业技能专周训练周数）一般安排</w:t>
      </w:r>
      <w:r>
        <w:rPr>
          <w:rFonts w:ascii="仿宋_GB2312" w:hAnsi="仿宋" w:eastAsia="仿宋_GB2312"/>
          <w:color w:val="000000"/>
          <w:sz w:val="28"/>
        </w:rPr>
        <w:t>20</w:t>
      </w:r>
      <w:r>
        <w:rPr>
          <w:rFonts w:hint="eastAsia" w:ascii="仿宋_GB2312" w:hAnsi="仿宋" w:eastAsia="仿宋_GB2312"/>
          <w:color w:val="000000"/>
          <w:sz w:val="28"/>
        </w:rPr>
        <w:t>周。每学期安排</w:t>
      </w:r>
      <w:r>
        <w:rPr>
          <w:rFonts w:ascii="仿宋_GB2312" w:hAnsi="仿宋" w:eastAsia="仿宋_GB2312"/>
          <w:color w:val="000000"/>
          <w:sz w:val="28"/>
        </w:rPr>
        <w:t>1</w:t>
      </w:r>
      <w:r>
        <w:rPr>
          <w:rFonts w:hint="eastAsia" w:ascii="仿宋_GB2312" w:hAnsi="仿宋" w:eastAsia="仿宋_GB2312"/>
          <w:color w:val="000000"/>
          <w:sz w:val="28"/>
        </w:rPr>
        <w:t>周用于节假、运动会等机动；每学期期末停课考试时间为3-5天，原则上安排在第</w:t>
      </w:r>
      <w:r>
        <w:rPr>
          <w:rFonts w:ascii="仿宋_GB2312" w:hAnsi="仿宋" w:eastAsia="仿宋_GB2312"/>
          <w:color w:val="000000"/>
          <w:sz w:val="28"/>
        </w:rPr>
        <w:t>20</w:t>
      </w:r>
      <w:r>
        <w:rPr>
          <w:rFonts w:hint="eastAsia" w:ascii="仿宋_GB2312" w:hAnsi="仿宋" w:eastAsia="仿宋_GB2312"/>
          <w:color w:val="000000"/>
          <w:sz w:val="28"/>
        </w:rPr>
        <w:t>周。每学年结合专周实训设置劳动周，采用专题讲座、主题演讲、劳动技能竞赛、劳动成果展示、劳动项目实践等形式进行。可在学年内或寒暑假自主安排，以集体劳动为主。</w:t>
      </w:r>
    </w:p>
    <w:p>
      <w:pPr>
        <w:adjustRightInd w:val="0"/>
        <w:snapToGrid w:val="0"/>
        <w:spacing w:line="360" w:lineRule="auto"/>
        <w:ind w:firstLine="560" w:firstLineChars="200"/>
        <w:jc w:val="left"/>
        <w:rPr>
          <w:rFonts w:ascii="仿宋_GB2312" w:eastAsia="仿宋_GB2312"/>
          <w:color w:val="000000"/>
          <w:sz w:val="28"/>
          <w:u w:val="single"/>
        </w:rPr>
      </w:pPr>
      <w:r>
        <w:rPr>
          <w:rFonts w:ascii="仿宋_GB2312" w:hAnsi="仿宋" w:eastAsia="仿宋_GB2312"/>
          <w:color w:val="000000"/>
          <w:sz w:val="28"/>
        </w:rPr>
        <w:t>3.</w:t>
      </w:r>
      <w:r>
        <w:rPr>
          <w:rFonts w:hint="eastAsia" w:ascii="仿宋_GB2312" w:hAnsi="仿宋" w:eastAsia="仿宋_GB2312"/>
          <w:color w:val="000000"/>
          <w:sz w:val="28"/>
        </w:rPr>
        <w:t>入学教育安排在新生入学报到后三周内完成。军事技能训练安排在新生入学学期进行。</w:t>
      </w:r>
    </w:p>
    <w:p>
      <w:pPr>
        <w:adjustRightInd w:val="0"/>
        <w:snapToGrid w:val="0"/>
        <w:spacing w:line="360" w:lineRule="auto"/>
        <w:ind w:firstLine="560" w:firstLineChars="200"/>
        <w:jc w:val="left"/>
        <w:rPr>
          <w:rFonts w:ascii="仿宋_GB2312" w:hAnsi="仿宋" w:eastAsia="仿宋_GB2312"/>
          <w:color w:val="000000" w:themeColor="text1"/>
          <w:sz w:val="28"/>
          <w:u w:val="single"/>
        </w:rPr>
      </w:pPr>
      <w:r>
        <w:rPr>
          <w:rFonts w:ascii="仿宋_GB2312" w:hAnsi="仿宋" w:eastAsia="仿宋_GB2312"/>
          <w:color w:val="000000" w:themeColor="text1"/>
          <w:sz w:val="28"/>
        </w:rPr>
        <w:t>4.</w:t>
      </w:r>
      <w:r>
        <w:rPr>
          <w:rFonts w:hint="eastAsia" w:ascii="仿宋_GB2312" w:hAnsi="仿宋" w:eastAsia="仿宋_GB2312"/>
          <w:color w:val="000000" w:themeColor="text1"/>
          <w:sz w:val="28"/>
        </w:rPr>
        <w:t>前三年课程每周不低于26学时，后两年课程每周不低于20学时，第四学年学期课程安排周学时不得超过</w:t>
      </w:r>
      <w:r>
        <w:rPr>
          <w:rFonts w:ascii="仿宋_GB2312" w:hAnsi="仿宋" w:eastAsia="仿宋_GB2312"/>
          <w:color w:val="000000" w:themeColor="text1"/>
          <w:sz w:val="28"/>
        </w:rPr>
        <w:t>2</w:t>
      </w:r>
      <w:r>
        <w:rPr>
          <w:rFonts w:hint="eastAsia" w:ascii="仿宋_GB2312" w:hAnsi="仿宋" w:eastAsia="仿宋_GB2312"/>
          <w:color w:val="000000" w:themeColor="text1"/>
          <w:sz w:val="28"/>
        </w:rPr>
        <w:t>6学时（体育课程学时另计）、第五学年不宜超过</w:t>
      </w:r>
      <w:r>
        <w:rPr>
          <w:rFonts w:ascii="仿宋_GB2312" w:hAnsi="仿宋" w:eastAsia="仿宋_GB2312"/>
          <w:color w:val="000000" w:themeColor="text1"/>
          <w:sz w:val="28"/>
        </w:rPr>
        <w:t>2</w:t>
      </w:r>
      <w:r>
        <w:rPr>
          <w:rFonts w:hint="eastAsia" w:ascii="仿宋_GB2312" w:hAnsi="仿宋" w:eastAsia="仿宋_GB2312"/>
          <w:color w:val="000000" w:themeColor="text1"/>
          <w:sz w:val="28"/>
        </w:rPr>
        <w:t>4学时。</w:t>
      </w:r>
    </w:p>
    <w:p>
      <w:pPr>
        <w:adjustRightInd w:val="0"/>
        <w:snapToGrid w:val="0"/>
        <w:spacing w:line="360" w:lineRule="auto"/>
        <w:ind w:firstLine="560" w:firstLineChars="200"/>
        <w:jc w:val="left"/>
        <w:rPr>
          <w:rFonts w:hint="eastAsia" w:ascii="仿宋_GB2312" w:hAnsi="仿宋" w:eastAsia="仿宋_GB2312"/>
          <w:color w:val="000000" w:themeColor="text1"/>
          <w:sz w:val="28"/>
        </w:rPr>
      </w:pPr>
      <w:r>
        <w:rPr>
          <w:rFonts w:ascii="仿宋_GB2312" w:hAnsi="仿宋" w:eastAsia="仿宋_GB2312"/>
          <w:color w:val="000000" w:themeColor="text1"/>
          <w:sz w:val="28"/>
        </w:rPr>
        <w:t>5.</w:t>
      </w:r>
      <w:r>
        <w:rPr>
          <w:rFonts w:hint="eastAsia" w:ascii="仿宋_GB2312" w:hAnsi="仿宋" w:eastAsia="仿宋_GB2312"/>
          <w:color w:val="000000" w:themeColor="text1"/>
          <w:sz w:val="28"/>
          <w:lang w:eastAsia="zh-CN"/>
        </w:rPr>
        <w:t>原则上岗位实习安排在高职阶段进行，</w:t>
      </w:r>
      <w:r>
        <w:rPr>
          <w:rFonts w:hint="eastAsia" w:ascii="仿宋_GB2312" w:hAnsi="仿宋" w:eastAsia="仿宋_GB2312" w:cs="Times New Roman"/>
          <w:color w:val="000000" w:themeColor="text1"/>
          <w:sz w:val="28"/>
          <w:szCs w:val="20"/>
          <w:u w:val="none"/>
          <w:lang w:val="en-US" w:eastAsia="zh-CN"/>
        </w:rPr>
        <w:t>岗位实习应达到6个月。</w:t>
      </w:r>
    </w:p>
    <w:p>
      <w:pPr>
        <w:adjustRightInd w:val="0"/>
        <w:snapToGrid w:val="0"/>
        <w:spacing w:line="360" w:lineRule="auto"/>
        <w:ind w:firstLine="560" w:firstLineChars="200"/>
        <w:jc w:val="left"/>
        <w:rPr>
          <w:rFonts w:ascii="仿宋_GB2312" w:hAnsi="仿宋" w:eastAsia="仿宋_GB2312"/>
          <w:color w:val="000000"/>
          <w:sz w:val="28"/>
        </w:rPr>
      </w:pPr>
      <w:r>
        <w:rPr>
          <w:rFonts w:ascii="仿宋_GB2312" w:hAnsi="仿宋" w:eastAsia="仿宋_GB2312"/>
          <w:color w:val="000000"/>
          <w:sz w:val="28"/>
        </w:rPr>
        <w:t>6.</w:t>
      </w:r>
      <w:r>
        <w:rPr>
          <w:rFonts w:hint="eastAsia" w:ascii="仿宋_GB2312" w:hAnsi="仿宋" w:eastAsia="仿宋_GB2312"/>
          <w:color w:val="000000"/>
          <w:sz w:val="28"/>
        </w:rPr>
        <w:t>课程学时应根据国家有关规定或职业教育技术技能培养实际需要进行设置，并按照开课学期实际教学周数（扣除独立设置、集中进行的职业技能专周训练周数）设置课程周学时。</w:t>
      </w:r>
    </w:p>
    <w:p>
      <w:pPr>
        <w:widowControl/>
        <w:adjustRightInd w:val="0"/>
        <w:snapToGrid w:val="0"/>
        <w:spacing w:line="360" w:lineRule="auto"/>
        <w:ind w:firstLine="562" w:firstLineChars="200"/>
        <w:jc w:val="left"/>
        <w:rPr>
          <w:rFonts w:ascii="仿宋_GB2312" w:eastAsia="仿宋_GB2312"/>
          <w:b/>
          <w:color w:val="000000"/>
          <w:sz w:val="28"/>
        </w:rPr>
      </w:pPr>
      <w:r>
        <w:rPr>
          <w:rFonts w:hint="eastAsia" w:ascii="仿宋_GB2312" w:eastAsia="仿宋_GB2312"/>
          <w:b/>
          <w:color w:val="000000"/>
          <w:sz w:val="28"/>
        </w:rPr>
        <w:t>（三）学分分配</w:t>
      </w:r>
    </w:p>
    <w:p>
      <w:pPr>
        <w:adjustRightInd w:val="0"/>
        <w:snapToGrid w:val="0"/>
        <w:spacing w:line="360" w:lineRule="auto"/>
        <w:ind w:firstLine="560" w:firstLineChars="200"/>
        <w:jc w:val="left"/>
        <w:rPr>
          <w:rFonts w:ascii="仿宋_GB2312" w:hAnsi="仿宋" w:eastAsia="仿宋_GB2312"/>
          <w:color w:val="000000"/>
          <w:sz w:val="28"/>
        </w:rPr>
      </w:pPr>
      <w:r>
        <w:rPr>
          <w:rFonts w:ascii="仿宋_GB2312" w:hAnsi="仿宋" w:eastAsia="仿宋_GB2312"/>
          <w:color w:val="000000"/>
          <w:sz w:val="28"/>
        </w:rPr>
        <w:t>1.</w:t>
      </w:r>
      <w:r>
        <w:rPr>
          <w:rFonts w:hint="eastAsia" w:ascii="仿宋_GB2312" w:hAnsi="仿宋" w:eastAsia="仿宋_GB2312"/>
          <w:color w:val="000000"/>
          <w:sz w:val="28"/>
        </w:rPr>
        <w:t>课程学分依据该课程性质及教学活动时数确定，中职阶段18学时为1学分，高</w:t>
      </w:r>
      <w:r>
        <w:rPr>
          <w:rFonts w:hint="eastAsia" w:ascii="仿宋_GB2312" w:hAnsi="仿宋" w:eastAsia="仿宋_GB2312"/>
          <w:color w:val="000000" w:themeColor="text1"/>
          <w:sz w:val="28"/>
        </w:rPr>
        <w:t>职阶段一般16-18学时计为1学分。最小学分单位为0.5学分。五年制总学分不超过</w:t>
      </w:r>
      <w:r>
        <w:rPr>
          <w:rFonts w:hint="eastAsia" w:ascii="仿宋_GB2312" w:hAnsi="仿宋" w:eastAsia="仿宋_GB2312"/>
          <w:color w:val="000000" w:themeColor="text1"/>
          <w:sz w:val="28"/>
          <w:lang w:val="en-US" w:eastAsia="zh-CN"/>
        </w:rPr>
        <w:t>265</w:t>
      </w:r>
      <w:r>
        <w:rPr>
          <w:rFonts w:hint="eastAsia" w:ascii="仿宋_GB2312" w:hAnsi="仿宋" w:eastAsia="仿宋_GB2312"/>
          <w:color w:val="000000" w:themeColor="text1"/>
          <w:sz w:val="28"/>
        </w:rPr>
        <w:t>学分。各联办专业可根据专业人才培养需要在规定的范围内适当调整，但须保证学生修满规定学分。</w:t>
      </w:r>
    </w:p>
    <w:p>
      <w:pPr>
        <w:adjustRightInd w:val="0"/>
        <w:snapToGrid w:val="0"/>
        <w:spacing w:line="360" w:lineRule="auto"/>
        <w:ind w:firstLine="560" w:firstLineChars="200"/>
        <w:jc w:val="left"/>
        <w:rPr>
          <w:rFonts w:ascii="仿宋_GB2312" w:hAnsi="仿宋" w:eastAsia="仿宋_GB2312"/>
          <w:color w:val="000000"/>
          <w:sz w:val="28"/>
        </w:rPr>
      </w:pPr>
      <w:r>
        <w:rPr>
          <w:rFonts w:ascii="仿宋_GB2312" w:hAnsi="仿宋" w:eastAsia="仿宋_GB2312"/>
          <w:color w:val="000000"/>
          <w:sz w:val="28"/>
        </w:rPr>
        <w:t>2.</w:t>
      </w:r>
      <w:r>
        <w:rPr>
          <w:rFonts w:hint="eastAsia" w:ascii="仿宋_GB2312" w:hAnsi="仿宋" w:eastAsia="仿宋_GB2312"/>
          <w:color w:val="000000"/>
          <w:sz w:val="28"/>
        </w:rPr>
        <w:t>理论教学、理实一体化教学：以课程学时为单位计算学分。</w:t>
      </w:r>
    </w:p>
    <w:p>
      <w:pPr>
        <w:adjustRightInd w:val="0"/>
        <w:snapToGrid w:val="0"/>
        <w:spacing w:line="360" w:lineRule="auto"/>
        <w:ind w:firstLine="560" w:firstLineChars="200"/>
        <w:jc w:val="left"/>
        <w:rPr>
          <w:rFonts w:ascii="仿宋_GB2312" w:hAnsi="仿宋" w:eastAsia="仿宋_GB2312"/>
          <w:color w:val="000000"/>
          <w:sz w:val="28"/>
        </w:rPr>
      </w:pPr>
      <w:r>
        <w:rPr>
          <w:rFonts w:ascii="仿宋_GB2312" w:hAnsi="仿宋" w:eastAsia="仿宋_GB2312"/>
          <w:color w:val="000000"/>
          <w:sz w:val="28"/>
        </w:rPr>
        <w:t>3.</w:t>
      </w:r>
      <w:r>
        <w:rPr>
          <w:rFonts w:hint="eastAsia" w:ascii="仿宋_GB2312" w:hAnsi="仿宋" w:eastAsia="仿宋_GB2312"/>
          <w:color w:val="000000"/>
          <w:sz w:val="28"/>
        </w:rPr>
        <w:t>实践教学：以完成的实践技能项目为单位计算学分。独立设置、集中进行的认识实习、跟岗实习、顶岗实习、毕业设计（或毕业实习报告、毕业论文）等实践教学环节，一般每周计</w:t>
      </w:r>
      <w:r>
        <w:rPr>
          <w:rFonts w:ascii="仿宋_GB2312" w:hAnsi="仿宋" w:eastAsia="仿宋_GB2312"/>
          <w:color w:val="000000"/>
          <w:sz w:val="28"/>
        </w:rPr>
        <w:t>1</w:t>
      </w:r>
      <w:r>
        <w:rPr>
          <w:rFonts w:hint="eastAsia" w:ascii="仿宋_GB2312" w:hAnsi="仿宋" w:eastAsia="仿宋_GB2312"/>
          <w:color w:val="000000"/>
          <w:sz w:val="28"/>
        </w:rPr>
        <w:t>学分。</w:t>
      </w:r>
    </w:p>
    <w:p>
      <w:pPr>
        <w:adjustRightInd w:val="0"/>
        <w:snapToGrid w:val="0"/>
        <w:spacing w:line="360" w:lineRule="auto"/>
        <w:ind w:firstLine="560" w:firstLineChars="200"/>
        <w:jc w:val="left"/>
        <w:rPr>
          <w:rFonts w:ascii="仿宋_GB2312" w:hAnsi="仿宋" w:eastAsia="仿宋_GB2312"/>
          <w:color w:val="000000"/>
          <w:sz w:val="28"/>
        </w:rPr>
      </w:pPr>
      <w:r>
        <w:rPr>
          <w:rFonts w:ascii="仿宋_GB2312" w:hAnsi="仿宋" w:eastAsia="仿宋_GB2312"/>
          <w:color w:val="000000"/>
          <w:sz w:val="28"/>
        </w:rPr>
        <w:t>4.</w:t>
      </w:r>
      <w:r>
        <w:rPr>
          <w:rFonts w:hint="eastAsia" w:ascii="仿宋_GB2312" w:hAnsi="仿宋" w:eastAsia="仿宋_GB2312"/>
          <w:color w:val="000000"/>
          <w:sz w:val="28"/>
        </w:rPr>
        <w:t>社会实践、公益劳动、入学（毕业）教育、艺术操作练习等课外教育课程，按每周（或每个项目或修习</w:t>
      </w:r>
      <w:r>
        <w:rPr>
          <w:rFonts w:ascii="仿宋_GB2312" w:hAnsi="仿宋" w:eastAsia="仿宋_GB2312"/>
          <w:color w:val="000000"/>
          <w:sz w:val="28"/>
        </w:rPr>
        <w:t>18</w:t>
      </w:r>
      <w:r>
        <w:rPr>
          <w:rFonts w:hint="eastAsia" w:ascii="仿宋_GB2312" w:hAnsi="仿宋" w:eastAsia="仿宋_GB2312"/>
          <w:color w:val="000000"/>
          <w:sz w:val="28"/>
        </w:rPr>
        <w:t>小时）计</w:t>
      </w:r>
      <w:r>
        <w:rPr>
          <w:rFonts w:ascii="仿宋_GB2312" w:hAnsi="仿宋" w:eastAsia="仿宋_GB2312"/>
          <w:color w:val="000000"/>
          <w:sz w:val="28"/>
        </w:rPr>
        <w:t>0.5</w:t>
      </w:r>
      <w:r>
        <w:rPr>
          <w:rFonts w:hint="eastAsia" w:ascii="仿宋_GB2312" w:hAnsi="仿宋" w:eastAsia="仿宋_GB2312"/>
          <w:color w:val="000000"/>
          <w:sz w:val="28"/>
        </w:rPr>
        <w:t>学分。由各系（部、院）视具体情况确定。</w:t>
      </w:r>
    </w:p>
    <w:p>
      <w:pPr>
        <w:adjustRightInd w:val="0"/>
        <w:snapToGrid w:val="0"/>
        <w:spacing w:line="360" w:lineRule="auto"/>
        <w:ind w:firstLine="560" w:firstLineChars="200"/>
        <w:jc w:val="left"/>
        <w:rPr>
          <w:rFonts w:ascii="仿宋_GB2312" w:hAnsi="仿宋" w:eastAsia="仿宋_GB2312"/>
          <w:color w:val="000000"/>
          <w:sz w:val="28"/>
        </w:rPr>
      </w:pPr>
      <w:r>
        <w:rPr>
          <w:rFonts w:ascii="仿宋_GB2312" w:hAnsi="仿宋" w:eastAsia="仿宋_GB2312"/>
          <w:color w:val="000000"/>
          <w:sz w:val="28"/>
        </w:rPr>
        <w:t>5.</w:t>
      </w:r>
      <w:r>
        <w:rPr>
          <w:rFonts w:hint="eastAsia" w:ascii="仿宋_GB2312" w:hAnsi="仿宋" w:eastAsia="仿宋_GB2312"/>
          <w:color w:val="000000"/>
          <w:sz w:val="28"/>
        </w:rPr>
        <w:t>通识教育选修课</w:t>
      </w:r>
      <w:r>
        <w:rPr>
          <w:rFonts w:ascii="仿宋_GB2312" w:hAnsi="仿宋" w:eastAsia="仿宋_GB2312"/>
          <w:color w:val="000000"/>
          <w:sz w:val="28"/>
        </w:rPr>
        <w:t>1</w:t>
      </w:r>
      <w:r>
        <w:rPr>
          <w:rFonts w:hint="eastAsia" w:ascii="仿宋_GB2312" w:hAnsi="仿宋" w:eastAsia="仿宋_GB2312"/>
          <w:color w:val="000000"/>
          <w:sz w:val="28"/>
        </w:rPr>
        <w:t>门课程计为</w:t>
      </w:r>
      <w:r>
        <w:rPr>
          <w:rFonts w:ascii="仿宋_GB2312" w:hAnsi="仿宋" w:eastAsia="仿宋_GB2312"/>
          <w:color w:val="000000"/>
          <w:sz w:val="28"/>
        </w:rPr>
        <w:t>1</w:t>
      </w:r>
      <w:r>
        <w:rPr>
          <w:rFonts w:hint="eastAsia" w:ascii="仿宋_GB2312" w:hAnsi="仿宋" w:eastAsia="仿宋_GB2312"/>
          <w:color w:val="000000"/>
          <w:sz w:val="28"/>
        </w:rPr>
        <w:t>学分。</w:t>
      </w:r>
    </w:p>
    <w:p>
      <w:pPr>
        <w:widowControl/>
        <w:adjustRightInd w:val="0"/>
        <w:snapToGrid w:val="0"/>
        <w:spacing w:line="360" w:lineRule="auto"/>
        <w:ind w:firstLine="562" w:firstLineChars="200"/>
        <w:jc w:val="left"/>
        <w:rPr>
          <w:rFonts w:ascii="仿宋_GB2312" w:eastAsia="仿宋_GB2312"/>
          <w:color w:val="000000"/>
          <w:sz w:val="28"/>
        </w:rPr>
      </w:pPr>
      <w:r>
        <w:rPr>
          <w:rFonts w:hint="eastAsia" w:ascii="仿宋_GB2312" w:eastAsia="仿宋_GB2312"/>
          <w:b/>
          <w:color w:val="000000"/>
          <w:sz w:val="28"/>
        </w:rPr>
        <w:t>（四）课程编码的要求</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中职阶段的课程编码有联办校根据实际情况确定，高职阶段由学院教务管理平台自动生成。</w:t>
      </w:r>
    </w:p>
    <w:p>
      <w:pPr>
        <w:adjustRightInd w:val="0"/>
        <w:snapToGrid w:val="0"/>
        <w:spacing w:line="360" w:lineRule="auto"/>
        <w:ind w:firstLine="562" w:firstLineChars="200"/>
        <w:jc w:val="left"/>
        <w:rPr>
          <w:rFonts w:ascii="黑体" w:hAnsi="黑体" w:eastAsia="黑体"/>
          <w:b/>
          <w:color w:val="000000"/>
          <w:sz w:val="28"/>
        </w:rPr>
      </w:pPr>
      <w:r>
        <w:rPr>
          <w:rFonts w:hint="eastAsia" w:ascii="黑体" w:hAnsi="黑体" w:eastAsia="黑体"/>
          <w:b/>
          <w:color w:val="000000"/>
          <w:sz w:val="28"/>
        </w:rPr>
        <w:t>五、课程设置的具体要求</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课程设置分为思想政治理论课、通识课程、专业职业能力（专业技能）课程、专业选修课程等四个模块。</w:t>
      </w:r>
    </w:p>
    <w:p>
      <w:pPr>
        <w:adjustRightInd w:val="0"/>
        <w:snapToGrid w:val="0"/>
        <w:spacing w:line="360" w:lineRule="auto"/>
        <w:ind w:firstLine="562" w:firstLineChars="200"/>
        <w:jc w:val="left"/>
        <w:rPr>
          <w:rFonts w:ascii="仿宋_GB2312" w:hAnsi="仿宋" w:eastAsia="仿宋_GB2312"/>
          <w:b/>
          <w:color w:val="000000"/>
          <w:sz w:val="28"/>
        </w:rPr>
      </w:pPr>
      <w:r>
        <w:rPr>
          <w:rFonts w:hint="eastAsia" w:ascii="仿宋_GB2312" w:hAnsi="仿宋" w:eastAsia="仿宋_GB2312"/>
          <w:b/>
          <w:color w:val="000000"/>
          <w:sz w:val="28"/>
        </w:rPr>
        <w:t>（一）思想政治理论课的开设要求</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思想政治理论课主要是根据教育部相关文件精神，结合学生实际，开展马克思主义理论宣传教育、思想道德与法律教育、形势与政策教育，坚持“八个相统一”原则，即坚持政治性和学理性相统一、价值性和知识性相统一、建设性和批判性相统一、理论性和实践性相统一、统一性和多样性相统一、主导性和主体性相统一、灌输性和启发性相统一、显性教育和隐性教育相统一，深入贯彻落实习近平新时代中国特色社会主义思想和党的二十大精神，进一步巩固马克思主义在高校意识形态领域的指导地位，坚持社会主义办学方向，全面贯彻党的教育方针，加强新时代高校思想政治理论课建设，全面推动习近平新时代中国特色社会主义思想进教材进课堂进学生头脑，培养担当民族复兴大任的时代新人。</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1.中职阶段根据教育部《中等职业学校公共基础课程方案》（教职成厅〔2019〕6号）及《中等职业学校</w:t>
      </w:r>
      <w:r>
        <w:rPr>
          <w:rFonts w:ascii="仿宋_GB2312" w:hAnsi="仿宋" w:eastAsia="仿宋_GB2312"/>
          <w:color w:val="000000"/>
          <w:sz w:val="28"/>
        </w:rPr>
        <w:t>思想政治课程标准</w:t>
      </w:r>
      <w:r>
        <w:rPr>
          <w:rFonts w:hint="eastAsia" w:ascii="仿宋_GB2312" w:hAnsi="仿宋" w:eastAsia="仿宋_GB2312"/>
          <w:color w:val="000000"/>
          <w:sz w:val="28"/>
        </w:rPr>
        <w:t xml:space="preserve">（2020版》要求开设思想政治必修课8学分，《中国特色社会主义》36学时、《心理健康与职业生涯》36学时、《哲学与人生》36学时、《职业道德与法治》36学时；思想政治课程拓展模块，不少于 36 </w:t>
      </w:r>
      <w:r>
        <w:rPr>
          <w:rFonts w:ascii="仿宋_GB2312" w:hAnsi="仿宋" w:eastAsia="仿宋_GB2312"/>
          <w:color w:val="000000"/>
          <w:sz w:val="28"/>
        </w:rPr>
        <w:t>学时，</w:t>
      </w:r>
      <w:r>
        <w:rPr>
          <w:rFonts w:hint="eastAsia" w:ascii="仿宋_GB2312" w:hAnsi="仿宋" w:eastAsia="仿宋_GB2312"/>
          <w:color w:val="000000"/>
          <w:sz w:val="28"/>
        </w:rPr>
        <w:t>课程名称</w:t>
      </w:r>
      <w:r>
        <w:rPr>
          <w:rFonts w:ascii="仿宋_GB2312" w:hAnsi="仿宋" w:eastAsia="仿宋_GB2312"/>
          <w:color w:val="000000"/>
          <w:sz w:val="28"/>
        </w:rPr>
        <w:t>由各</w:t>
      </w:r>
      <w:r>
        <w:rPr>
          <w:rFonts w:hint="eastAsia" w:ascii="仿宋_GB2312" w:hAnsi="仿宋" w:eastAsia="仿宋_GB2312"/>
          <w:color w:val="000000"/>
          <w:sz w:val="28"/>
        </w:rPr>
        <w:t>专业会商联办学校</w:t>
      </w:r>
      <w:r>
        <w:rPr>
          <w:rFonts w:ascii="仿宋_GB2312" w:hAnsi="仿宋" w:eastAsia="仿宋_GB2312"/>
          <w:color w:val="000000"/>
          <w:sz w:val="28"/>
        </w:rPr>
        <w:t>根据实际情况开设</w:t>
      </w:r>
      <w:r>
        <w:rPr>
          <w:rFonts w:hint="eastAsia" w:ascii="仿宋_GB2312" w:hAnsi="仿宋" w:eastAsia="仿宋_GB2312"/>
          <w:color w:val="000000"/>
          <w:sz w:val="28"/>
        </w:rPr>
        <w:t>。</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2.高职阶段根据《新时代学校思想政治理论课改革创新实施方案》（教材〔2020〕6号）要求及上级相关精神开设4门思想政治必修课：</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（1）《思想道德与法治》48</w:t>
      </w:r>
      <w:r>
        <w:rPr>
          <w:rFonts w:ascii="仿宋_GB2312" w:hAnsi="仿宋" w:eastAsia="仿宋_GB2312"/>
          <w:color w:val="000000"/>
          <w:sz w:val="28"/>
        </w:rPr>
        <w:t>学时，3学分，在第</w:t>
      </w:r>
      <w:r>
        <w:rPr>
          <w:rFonts w:hint="eastAsia" w:ascii="仿宋_GB2312" w:hAnsi="仿宋" w:eastAsia="仿宋_GB2312"/>
          <w:color w:val="000000"/>
          <w:sz w:val="28"/>
        </w:rPr>
        <w:t>七</w:t>
      </w:r>
      <w:r>
        <w:rPr>
          <w:rFonts w:ascii="仿宋_GB2312" w:hAnsi="仿宋" w:eastAsia="仿宋_GB2312"/>
          <w:color w:val="000000"/>
          <w:sz w:val="28"/>
        </w:rPr>
        <w:t>学期开设，由马克思主义学院“</w:t>
      </w:r>
      <w:r>
        <w:rPr>
          <w:rFonts w:hint="eastAsia" w:ascii="仿宋_GB2312" w:hAnsi="仿宋" w:eastAsia="仿宋_GB2312"/>
          <w:color w:val="000000"/>
          <w:sz w:val="28"/>
        </w:rPr>
        <w:t>思想道德与法治</w:t>
      </w:r>
      <w:r>
        <w:rPr>
          <w:rFonts w:ascii="仿宋_GB2312" w:hAnsi="仿宋" w:eastAsia="仿宋_GB2312"/>
          <w:color w:val="000000"/>
          <w:sz w:val="28"/>
        </w:rPr>
        <w:t>”教研室组织实施教学</w:t>
      </w:r>
      <w:r>
        <w:rPr>
          <w:rFonts w:hint="eastAsia" w:ascii="仿宋_GB2312" w:hAnsi="仿宋" w:eastAsia="仿宋_GB2312"/>
          <w:color w:val="000000"/>
          <w:sz w:val="28"/>
        </w:rPr>
        <w:t>。</w:t>
      </w:r>
    </w:p>
    <w:p>
      <w:pPr>
        <w:adjustRightInd w:val="0"/>
        <w:snapToGrid w:val="0"/>
        <w:spacing w:line="500" w:lineRule="exact"/>
        <w:ind w:firstLine="560" w:firstLineChars="200"/>
        <w:jc w:val="left"/>
        <w:rPr>
          <w:rFonts w:ascii="仿宋_GB2312" w:hAnsi="仿宋" w:eastAsia="仿宋_GB2312"/>
          <w:color w:val="000000" w:themeColor="text1"/>
          <w:sz w:val="28"/>
        </w:rPr>
      </w:pPr>
      <w:r>
        <w:rPr>
          <w:rFonts w:hint="eastAsia" w:ascii="仿宋_GB2312" w:hAnsi="仿宋" w:eastAsia="仿宋_GB2312"/>
          <w:color w:val="000000" w:themeColor="text1"/>
          <w:sz w:val="28"/>
        </w:rPr>
        <w:t>(2)《毛泽东思想和中国特色社会主义理论体系概论》32学时，2学分，在第八学期开设，由马克思主义学院“毛泽东思想和中国特色社会主义理论体系概论”教研室组织实施教学。</w:t>
      </w:r>
    </w:p>
    <w:p>
      <w:pPr>
        <w:adjustRightInd w:val="0"/>
        <w:snapToGrid w:val="0"/>
        <w:spacing w:line="500" w:lineRule="exact"/>
        <w:ind w:firstLine="560" w:firstLineChars="200"/>
        <w:jc w:val="left"/>
        <w:rPr>
          <w:rFonts w:ascii="仿宋_GB2312" w:hAnsi="仿宋" w:eastAsia="仿宋_GB2312"/>
          <w:color w:val="000000" w:themeColor="text1"/>
          <w:sz w:val="28"/>
        </w:rPr>
      </w:pPr>
      <w:r>
        <w:rPr>
          <w:rFonts w:hint="eastAsia" w:ascii="仿宋_GB2312" w:hAnsi="仿宋" w:eastAsia="仿宋_GB2312"/>
          <w:snapToGrid w:val="0"/>
          <w:color w:val="000000" w:themeColor="text1"/>
          <w:sz w:val="28"/>
          <w:szCs w:val="28"/>
        </w:rPr>
        <w:t>（3）</w:t>
      </w:r>
      <w:r>
        <w:rPr>
          <w:rFonts w:ascii="仿宋_GB2312" w:hAnsi="仿宋" w:eastAsia="仿宋_GB2312"/>
          <w:snapToGrid w:val="0"/>
          <w:color w:val="000000" w:themeColor="text1"/>
          <w:sz w:val="28"/>
          <w:szCs w:val="28"/>
        </w:rPr>
        <w:t>《</w:t>
      </w:r>
      <w:r>
        <w:rPr>
          <w:rFonts w:hint="eastAsia" w:ascii="仿宋_GB2312" w:hAnsi="仿宋" w:eastAsia="仿宋_GB2312"/>
          <w:snapToGrid w:val="0"/>
          <w:color w:val="000000" w:themeColor="text1"/>
          <w:sz w:val="28"/>
          <w:szCs w:val="28"/>
        </w:rPr>
        <w:t>习近平新时代</w:t>
      </w:r>
      <w:r>
        <w:rPr>
          <w:rFonts w:ascii="仿宋_GB2312" w:hAnsi="仿宋" w:eastAsia="仿宋_GB2312"/>
          <w:snapToGrid w:val="0"/>
          <w:color w:val="000000" w:themeColor="text1"/>
          <w:sz w:val="28"/>
          <w:szCs w:val="28"/>
        </w:rPr>
        <w:t>中国特色</w:t>
      </w:r>
      <w:r>
        <w:rPr>
          <w:rFonts w:ascii="仿宋_GB2312" w:hAnsi="仿宋" w:eastAsia="仿宋_GB2312" w:cs="宋体"/>
          <w:snapToGrid w:val="0"/>
          <w:color w:val="000000" w:themeColor="text1"/>
          <w:sz w:val="28"/>
          <w:szCs w:val="28"/>
        </w:rPr>
        <w:t>社会主义</w:t>
      </w:r>
      <w:r>
        <w:rPr>
          <w:rFonts w:hint="eastAsia" w:ascii="仿宋_GB2312" w:hAnsi="仿宋" w:eastAsia="仿宋_GB2312" w:cs="宋体"/>
          <w:snapToGrid w:val="0"/>
          <w:color w:val="000000" w:themeColor="text1"/>
          <w:sz w:val="28"/>
          <w:szCs w:val="28"/>
        </w:rPr>
        <w:t>思想</w:t>
      </w:r>
      <w:r>
        <w:rPr>
          <w:rFonts w:ascii="仿宋_GB2312" w:hAnsi="仿宋" w:eastAsia="仿宋_GB2312" w:cs="宋体"/>
          <w:snapToGrid w:val="0"/>
          <w:color w:val="000000" w:themeColor="text1"/>
          <w:sz w:val="28"/>
          <w:szCs w:val="28"/>
        </w:rPr>
        <w:t>概论》</w:t>
      </w:r>
      <w:r>
        <w:rPr>
          <w:rFonts w:hint="eastAsia" w:ascii="仿宋_GB2312" w:hAnsi="仿宋" w:eastAsia="仿宋_GB2312" w:cs="宋体"/>
          <w:snapToGrid w:val="0"/>
          <w:color w:val="000000" w:themeColor="text1"/>
          <w:sz w:val="28"/>
          <w:szCs w:val="28"/>
        </w:rPr>
        <w:t>48</w:t>
      </w:r>
      <w:r>
        <w:rPr>
          <w:rFonts w:ascii="仿宋_GB2312" w:hAnsi="仿宋" w:eastAsia="仿宋_GB2312" w:cs="宋体"/>
          <w:snapToGrid w:val="0"/>
          <w:color w:val="000000" w:themeColor="text1"/>
          <w:sz w:val="28"/>
          <w:szCs w:val="28"/>
        </w:rPr>
        <w:t>学时，</w:t>
      </w:r>
      <w:r>
        <w:rPr>
          <w:rFonts w:hint="eastAsia" w:ascii="仿宋_GB2312" w:hAnsi="仿宋" w:eastAsia="仿宋_GB2312" w:cs="宋体"/>
          <w:snapToGrid w:val="0"/>
          <w:color w:val="000000" w:themeColor="text1"/>
          <w:sz w:val="28"/>
          <w:szCs w:val="28"/>
        </w:rPr>
        <w:t>3</w:t>
      </w:r>
      <w:r>
        <w:rPr>
          <w:rFonts w:ascii="仿宋_GB2312" w:hAnsi="仿宋" w:eastAsia="仿宋_GB2312" w:cs="宋体"/>
          <w:snapToGrid w:val="0"/>
          <w:color w:val="000000" w:themeColor="text1"/>
          <w:sz w:val="28"/>
          <w:szCs w:val="28"/>
        </w:rPr>
        <w:t>学分，</w:t>
      </w:r>
      <w:r>
        <w:rPr>
          <w:rFonts w:hint="eastAsia" w:ascii="仿宋_GB2312" w:hAnsi="仿宋" w:eastAsia="仿宋_GB2312" w:cs="Times New Roman"/>
          <w:b w:val="0"/>
          <w:bCs w:val="0"/>
          <w:snapToGrid w:val="0"/>
          <w:color w:val="000000" w:themeColor="text1"/>
          <w:sz w:val="28"/>
          <w:szCs w:val="28"/>
        </w:rPr>
        <w:t>第</w:t>
      </w:r>
      <w:r>
        <w:rPr>
          <w:rFonts w:hint="eastAsia" w:ascii="仿宋_GB2312" w:hAnsi="仿宋" w:eastAsia="仿宋_GB2312" w:cs="Times New Roman"/>
          <w:b w:val="0"/>
          <w:bCs w:val="0"/>
          <w:snapToGrid w:val="0"/>
          <w:color w:val="000000" w:themeColor="text1"/>
          <w:sz w:val="28"/>
          <w:szCs w:val="28"/>
          <w:lang w:eastAsia="zh-CN"/>
        </w:rPr>
        <w:t>七或</w:t>
      </w:r>
      <w:r>
        <w:rPr>
          <w:rFonts w:hint="eastAsia" w:ascii="仿宋_GB2312" w:hAnsi="仿宋" w:eastAsia="仿宋_GB2312" w:cs="Times New Roman"/>
          <w:b w:val="0"/>
          <w:bCs w:val="0"/>
          <w:snapToGrid w:val="0"/>
          <w:color w:val="000000" w:themeColor="text1"/>
          <w:sz w:val="28"/>
          <w:szCs w:val="28"/>
        </w:rPr>
        <w:t>第</w:t>
      </w:r>
      <w:r>
        <w:rPr>
          <w:rFonts w:hint="eastAsia" w:ascii="仿宋_GB2312" w:hAnsi="仿宋" w:eastAsia="仿宋_GB2312" w:cs="Times New Roman"/>
          <w:b w:val="0"/>
          <w:bCs w:val="0"/>
          <w:snapToGrid w:val="0"/>
          <w:color w:val="000000" w:themeColor="text1"/>
          <w:sz w:val="28"/>
          <w:szCs w:val="28"/>
          <w:lang w:eastAsia="zh-CN"/>
        </w:rPr>
        <w:t>八</w:t>
      </w:r>
      <w:r>
        <w:rPr>
          <w:rFonts w:hint="eastAsia" w:ascii="仿宋_GB2312" w:hAnsi="仿宋" w:eastAsia="仿宋_GB2312" w:cs="Times New Roman"/>
          <w:b w:val="0"/>
          <w:bCs w:val="0"/>
          <w:snapToGrid w:val="0"/>
          <w:color w:val="000000" w:themeColor="text1"/>
          <w:sz w:val="28"/>
          <w:szCs w:val="28"/>
        </w:rPr>
        <w:t>学期开设，</w:t>
      </w:r>
      <w:r>
        <w:rPr>
          <w:rFonts w:hint="eastAsia" w:ascii="仿宋_GB2312" w:hAnsi="仿宋" w:eastAsia="仿宋_GB2312" w:cs="Times New Roman"/>
          <w:snapToGrid w:val="0"/>
          <w:color w:val="000000" w:themeColor="text1"/>
          <w:sz w:val="28"/>
          <w:szCs w:val="28"/>
        </w:rPr>
        <w:t>由马</w:t>
      </w:r>
      <w:r>
        <w:rPr>
          <w:rFonts w:ascii="仿宋_GB2312" w:hAnsi="仿宋" w:eastAsia="仿宋_GB2312" w:cs="宋体"/>
          <w:snapToGrid w:val="0"/>
          <w:color w:val="000000" w:themeColor="text1"/>
          <w:sz w:val="28"/>
          <w:szCs w:val="28"/>
        </w:rPr>
        <w:t>克思主义学院“</w:t>
      </w:r>
      <w:r>
        <w:rPr>
          <w:rFonts w:hint="eastAsia" w:ascii="仿宋_GB2312" w:hAnsi="仿宋" w:eastAsia="仿宋_GB2312" w:cs="宋体"/>
          <w:snapToGrid w:val="0"/>
          <w:color w:val="000000" w:themeColor="text1"/>
          <w:sz w:val="28"/>
          <w:szCs w:val="28"/>
        </w:rPr>
        <w:t>习近平新时代</w:t>
      </w:r>
      <w:r>
        <w:rPr>
          <w:rFonts w:ascii="仿宋_GB2312" w:hAnsi="仿宋" w:eastAsia="仿宋_GB2312" w:cs="宋体"/>
          <w:snapToGrid w:val="0"/>
          <w:color w:val="000000" w:themeColor="text1"/>
          <w:sz w:val="28"/>
          <w:szCs w:val="28"/>
        </w:rPr>
        <w:t>中国特色社会主义</w:t>
      </w:r>
      <w:r>
        <w:rPr>
          <w:rFonts w:hint="eastAsia" w:ascii="仿宋_GB2312" w:hAnsi="仿宋" w:eastAsia="仿宋_GB2312" w:cs="宋体"/>
          <w:snapToGrid w:val="0"/>
          <w:color w:val="000000" w:themeColor="text1"/>
          <w:sz w:val="28"/>
          <w:szCs w:val="28"/>
        </w:rPr>
        <w:t>思想</w:t>
      </w:r>
      <w:r>
        <w:rPr>
          <w:rFonts w:ascii="仿宋_GB2312" w:hAnsi="仿宋" w:eastAsia="仿宋_GB2312" w:cs="宋体"/>
          <w:snapToGrid w:val="0"/>
          <w:color w:val="000000" w:themeColor="text1"/>
          <w:sz w:val="28"/>
          <w:szCs w:val="28"/>
        </w:rPr>
        <w:t>概论</w:t>
      </w:r>
      <w:r>
        <w:rPr>
          <w:rFonts w:ascii="仿宋_GB2312" w:hAnsi="仿宋" w:eastAsia="仿宋_GB2312"/>
          <w:snapToGrid w:val="0"/>
          <w:color w:val="000000" w:themeColor="text1"/>
          <w:sz w:val="28"/>
          <w:szCs w:val="28"/>
        </w:rPr>
        <w:t>”教研室组织实施教学</w:t>
      </w:r>
      <w:r>
        <w:rPr>
          <w:rFonts w:hint="eastAsia" w:ascii="仿宋_GB2312" w:hAnsi="仿宋" w:eastAsia="仿宋_GB2312"/>
          <w:snapToGrid w:val="0"/>
          <w:color w:val="000000" w:themeColor="text1"/>
          <w:sz w:val="28"/>
          <w:szCs w:val="28"/>
        </w:rPr>
        <w:t>。</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（4）《形势与政策》32学时，</w:t>
      </w:r>
      <w:r>
        <w:rPr>
          <w:rFonts w:ascii="仿宋_GB2312" w:hAnsi="仿宋" w:eastAsia="仿宋_GB2312"/>
          <w:color w:val="000000"/>
          <w:sz w:val="28"/>
        </w:rPr>
        <w:t>1</w:t>
      </w:r>
      <w:r>
        <w:rPr>
          <w:rFonts w:hint="eastAsia" w:ascii="仿宋_GB2312" w:hAnsi="仿宋" w:eastAsia="仿宋_GB2312"/>
          <w:color w:val="000000"/>
          <w:sz w:val="28"/>
        </w:rPr>
        <w:t>学分，</w:t>
      </w:r>
      <w:r>
        <w:rPr>
          <w:rFonts w:hint="eastAsia" w:ascii="仿宋_GB2312" w:hAnsi="仿宋" w:eastAsia="仿宋_GB2312"/>
          <w:color w:val="000000"/>
          <w:sz w:val="28"/>
          <w:lang w:eastAsia="zh-CN"/>
        </w:rPr>
        <w:t>第</w:t>
      </w:r>
      <w:r>
        <w:rPr>
          <w:rFonts w:hint="eastAsia" w:ascii="仿宋_GB2312" w:hAnsi="仿宋" w:eastAsia="仿宋_GB2312"/>
          <w:color w:val="000000"/>
          <w:sz w:val="28"/>
          <w:lang w:val="en-US" w:eastAsia="zh-CN"/>
        </w:rPr>
        <w:t>7-10学期开设</w:t>
      </w:r>
      <w:r>
        <w:rPr>
          <w:rFonts w:hint="eastAsia" w:ascii="仿宋_GB2312" w:hAnsi="仿宋" w:eastAsia="仿宋_GB2312"/>
          <w:color w:val="000000"/>
          <w:sz w:val="28"/>
        </w:rPr>
        <w:t>，</w:t>
      </w:r>
      <w:r>
        <w:rPr>
          <w:rFonts w:hint="eastAsia" w:ascii="仿宋_GB2312" w:hAnsi="仿宋" w:eastAsia="仿宋_GB2312"/>
          <w:color w:val="000000"/>
          <w:sz w:val="28"/>
          <w:lang w:eastAsia="zh-CN"/>
        </w:rPr>
        <w:t>每学期</w:t>
      </w:r>
      <w:r>
        <w:rPr>
          <w:rFonts w:hint="eastAsia" w:ascii="仿宋_GB2312" w:hAnsi="仿宋" w:eastAsia="仿宋_GB2312"/>
          <w:color w:val="000000"/>
          <w:sz w:val="28"/>
          <w:lang w:val="en-US" w:eastAsia="zh-CN"/>
        </w:rPr>
        <w:t>8学时，</w:t>
      </w:r>
      <w:r>
        <w:rPr>
          <w:rFonts w:hint="eastAsia" w:ascii="仿宋_GB2312" w:hAnsi="仿宋" w:eastAsia="仿宋_GB2312"/>
          <w:color w:val="000000"/>
          <w:sz w:val="28"/>
        </w:rPr>
        <w:t>由马克思主义学院“形势与政策”教研室组织实施教学。</w:t>
      </w:r>
    </w:p>
    <w:p>
      <w:pPr>
        <w:adjustRightInd w:val="0"/>
        <w:snapToGrid w:val="0"/>
        <w:spacing w:line="360" w:lineRule="auto"/>
        <w:ind w:firstLine="562" w:firstLineChars="200"/>
        <w:jc w:val="left"/>
        <w:rPr>
          <w:rFonts w:ascii="仿宋_GB2312" w:hAnsi="仿宋" w:eastAsia="仿宋_GB2312"/>
          <w:b/>
          <w:color w:val="000000"/>
          <w:sz w:val="28"/>
        </w:rPr>
      </w:pPr>
      <w:r>
        <w:rPr>
          <w:rFonts w:hint="eastAsia" w:ascii="仿宋_GB2312" w:hAnsi="仿宋" w:eastAsia="仿宋_GB2312"/>
          <w:b/>
          <w:color w:val="000000"/>
          <w:sz w:val="28"/>
        </w:rPr>
        <w:t>（二）通识教育课程体系的开设要求</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通识教育课程旨在传承中华传统优秀文化，培养获取知识能力、价值判断能力和创新创业能力，提高自然科学和社会科学的文化素质、身体素质和职业基本素养，增强毕业生社会适应能力。</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1</w:t>
      </w:r>
      <w:r>
        <w:rPr>
          <w:rFonts w:ascii="仿宋_GB2312" w:hAnsi="仿宋" w:eastAsia="仿宋_GB2312"/>
          <w:color w:val="000000"/>
          <w:sz w:val="28"/>
        </w:rPr>
        <w:t>.</w:t>
      </w:r>
      <w:r>
        <w:rPr>
          <w:rFonts w:hint="eastAsia" w:ascii="仿宋_GB2312" w:hAnsi="仿宋" w:eastAsia="仿宋_GB2312"/>
          <w:color w:val="000000"/>
          <w:sz w:val="28"/>
        </w:rPr>
        <w:t>中职阶段根据教育部《中等职业学校公共基础课程方案》（教职成厅〔2019〕6号）开设通识课程，学分、学时应不低于文件要求。</w:t>
      </w:r>
      <w:r>
        <w:rPr>
          <w:rFonts w:ascii="仿宋_GB2312" w:hAnsi="仿宋" w:eastAsia="仿宋_GB2312"/>
          <w:color w:val="000000"/>
          <w:sz w:val="28"/>
        </w:rPr>
        <w:t>劳动课按</w:t>
      </w:r>
      <w:r>
        <w:rPr>
          <w:rFonts w:hint="eastAsia" w:ascii="仿宋_GB2312" w:hAnsi="仿宋" w:eastAsia="仿宋_GB2312"/>
          <w:color w:val="000000"/>
          <w:sz w:val="28"/>
        </w:rPr>
        <w:t>教育</w:t>
      </w:r>
      <w:r>
        <w:rPr>
          <w:rFonts w:ascii="仿宋_GB2312" w:hAnsi="仿宋" w:eastAsia="仿宋_GB2312"/>
          <w:color w:val="000000"/>
          <w:sz w:val="28"/>
        </w:rPr>
        <w:t>部相关文件执行。</w:t>
      </w:r>
    </w:p>
    <w:tbl>
      <w:tblPr>
        <w:tblStyle w:val="9"/>
        <w:tblW w:w="9191"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2161"/>
        <w:gridCol w:w="1165"/>
        <w:gridCol w:w="1153"/>
        <w:gridCol w:w="12"/>
        <w:gridCol w:w="1165"/>
        <w:gridCol w:w="1165"/>
        <w:gridCol w:w="1302"/>
        <w:gridCol w:w="1068"/>
      </w:tblGrid>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44" w:hRule="atLeast"/>
          <w:tblHeader/>
          <w:jc w:val="center"/>
        </w:trPr>
        <w:tc>
          <w:tcPr>
            <w:tcW w:w="2161"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overflowPunct w:val="0"/>
              <w:adjustRightInd w:val="0"/>
              <w:snapToGrid w:val="0"/>
              <w:ind w:firstLine="0"/>
              <w:jc w:val="center"/>
              <w:rPr>
                <w:rFonts w:ascii="黑体" w:hAnsi="黑体" w:eastAsia="黑体"/>
                <w:color w:val="000000"/>
                <w:sz w:val="28"/>
                <w:szCs w:val="28"/>
              </w:rPr>
            </w:pPr>
            <w:r>
              <w:rPr>
                <w:rFonts w:hint="eastAsia" w:ascii="黑体" w:hAnsi="黑体" w:eastAsia="黑体"/>
                <w:color w:val="000000"/>
                <w:sz w:val="28"/>
                <w:szCs w:val="28"/>
              </w:rPr>
              <w:t>课程名称</w:t>
            </w:r>
          </w:p>
        </w:tc>
        <w:tc>
          <w:tcPr>
            <w:tcW w:w="2318" w:type="dxa"/>
            <w:gridSpan w:val="2"/>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overflowPunct w:val="0"/>
              <w:adjustRightInd w:val="0"/>
              <w:snapToGrid w:val="0"/>
              <w:ind w:firstLine="0"/>
              <w:jc w:val="center"/>
              <w:rPr>
                <w:rFonts w:ascii="黑体" w:hAnsi="黑体" w:eastAsia="黑体"/>
                <w:color w:val="000000"/>
                <w:sz w:val="28"/>
                <w:szCs w:val="28"/>
              </w:rPr>
            </w:pPr>
            <w:r>
              <w:rPr>
                <w:rFonts w:hint="eastAsia" w:ascii="黑体" w:hAnsi="黑体" w:eastAsia="黑体"/>
                <w:color w:val="000000"/>
                <w:sz w:val="28"/>
                <w:szCs w:val="28"/>
              </w:rPr>
              <w:t>必修课</w:t>
            </w:r>
          </w:p>
          <w:p>
            <w:pPr>
              <w:overflowPunct w:val="0"/>
              <w:adjustRightInd w:val="0"/>
              <w:snapToGrid w:val="0"/>
              <w:ind w:firstLine="0"/>
              <w:jc w:val="center"/>
              <w:rPr>
                <w:rFonts w:ascii="仿宋_GB2312" w:hAnsi="黑体" w:eastAsia="仿宋_GB2312"/>
                <w:color w:val="000000"/>
                <w:sz w:val="28"/>
                <w:szCs w:val="28"/>
              </w:rPr>
            </w:pPr>
            <w:r>
              <w:rPr>
                <w:rFonts w:hint="eastAsia" w:ascii="黑体" w:hAnsi="黑体" w:eastAsia="黑体"/>
                <w:color w:val="000000"/>
                <w:sz w:val="28"/>
                <w:szCs w:val="28"/>
              </w:rPr>
              <w:t>（基础模块）</w:t>
            </w:r>
          </w:p>
        </w:tc>
        <w:tc>
          <w:tcPr>
            <w:tcW w:w="2342" w:type="dxa"/>
            <w:gridSpan w:val="3"/>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overflowPunct w:val="0"/>
              <w:adjustRightInd w:val="0"/>
              <w:snapToGrid w:val="0"/>
              <w:ind w:firstLine="0"/>
              <w:jc w:val="center"/>
              <w:rPr>
                <w:rFonts w:ascii="黑体" w:hAnsi="黑体" w:eastAsia="黑体"/>
                <w:color w:val="000000"/>
                <w:sz w:val="28"/>
                <w:szCs w:val="28"/>
              </w:rPr>
            </w:pPr>
            <w:r>
              <w:rPr>
                <w:rFonts w:hint="eastAsia" w:ascii="黑体" w:hAnsi="黑体" w:eastAsia="黑体"/>
                <w:color w:val="000000"/>
                <w:sz w:val="28"/>
                <w:szCs w:val="28"/>
              </w:rPr>
              <w:t>限定选修课</w:t>
            </w:r>
          </w:p>
          <w:p>
            <w:pPr>
              <w:overflowPunct w:val="0"/>
              <w:adjustRightInd w:val="0"/>
              <w:snapToGrid w:val="0"/>
              <w:ind w:firstLine="0"/>
              <w:jc w:val="center"/>
              <w:rPr>
                <w:rFonts w:ascii="仿宋_GB2312" w:hAnsi="黑体" w:eastAsia="仿宋_GB2312"/>
                <w:color w:val="000000"/>
                <w:sz w:val="28"/>
                <w:szCs w:val="28"/>
              </w:rPr>
            </w:pPr>
            <w:r>
              <w:rPr>
                <w:rFonts w:hint="eastAsia" w:ascii="黑体" w:hAnsi="黑体" w:eastAsia="黑体"/>
                <w:color w:val="000000"/>
                <w:sz w:val="28"/>
                <w:szCs w:val="28"/>
              </w:rPr>
              <w:t>（职业模块或拓展模块）</w:t>
            </w:r>
          </w:p>
        </w:tc>
        <w:tc>
          <w:tcPr>
            <w:tcW w:w="2370" w:type="dxa"/>
            <w:gridSpan w:val="2"/>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overflowPunct w:val="0"/>
              <w:adjustRightInd w:val="0"/>
              <w:snapToGrid w:val="0"/>
              <w:ind w:firstLine="0"/>
              <w:jc w:val="center"/>
              <w:rPr>
                <w:rFonts w:ascii="黑体" w:hAnsi="黑体" w:eastAsia="黑体"/>
                <w:color w:val="000000"/>
                <w:sz w:val="28"/>
                <w:szCs w:val="28"/>
              </w:rPr>
            </w:pPr>
            <w:r>
              <w:rPr>
                <w:rFonts w:hint="eastAsia" w:ascii="黑体" w:hAnsi="黑体" w:eastAsia="黑体"/>
                <w:color w:val="000000"/>
                <w:sz w:val="28"/>
                <w:szCs w:val="28"/>
              </w:rPr>
              <w:t>任意选修课</w:t>
            </w:r>
          </w:p>
          <w:p>
            <w:pPr>
              <w:overflowPunct w:val="0"/>
              <w:adjustRightInd w:val="0"/>
              <w:snapToGrid w:val="0"/>
              <w:ind w:firstLine="0"/>
              <w:jc w:val="center"/>
              <w:rPr>
                <w:rFonts w:ascii="仿宋_GB2312" w:hAnsi="黑体" w:eastAsia="仿宋_GB2312"/>
                <w:color w:val="000000"/>
                <w:sz w:val="28"/>
                <w:szCs w:val="28"/>
              </w:rPr>
            </w:pPr>
            <w:r>
              <w:rPr>
                <w:rFonts w:hint="eastAsia" w:ascii="黑体" w:hAnsi="黑体" w:eastAsia="黑体"/>
                <w:color w:val="000000"/>
                <w:sz w:val="28"/>
                <w:szCs w:val="28"/>
              </w:rPr>
              <w:t>（拓展模块）</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0" w:hRule="atLeast"/>
          <w:tblHeader/>
          <w:jc w:val="center"/>
        </w:trPr>
        <w:tc>
          <w:tcPr>
            <w:tcW w:w="2161"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adjustRightInd w:val="0"/>
              <w:snapToGrid w:val="0"/>
              <w:ind w:firstLine="0"/>
              <w:jc w:val="center"/>
              <w:rPr>
                <w:rFonts w:ascii="黑体" w:hAnsi="黑体" w:eastAsia="黑体"/>
                <w:color w:val="000000"/>
                <w:sz w:val="28"/>
                <w:szCs w:val="28"/>
              </w:rPr>
            </w:pPr>
          </w:p>
        </w:tc>
        <w:tc>
          <w:tcPr>
            <w:tcW w:w="1165" w:type="dxa"/>
            <w:tcBorders>
              <w:top w:val="single" w:color="auto"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黑体" w:hAnsi="黑体" w:eastAsia="黑体"/>
                <w:color w:val="000000"/>
                <w:sz w:val="28"/>
                <w:szCs w:val="28"/>
              </w:rPr>
            </w:pPr>
            <w:r>
              <w:rPr>
                <w:rFonts w:hint="eastAsia" w:ascii="黑体" w:hAnsi="黑体" w:eastAsia="黑体"/>
                <w:color w:val="000000"/>
                <w:sz w:val="28"/>
                <w:szCs w:val="28"/>
              </w:rPr>
              <w:t>学分</w:t>
            </w:r>
          </w:p>
        </w:tc>
        <w:tc>
          <w:tcPr>
            <w:tcW w:w="1165" w:type="dxa"/>
            <w:gridSpan w:val="2"/>
            <w:tcBorders>
              <w:top w:val="single" w:color="auto"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黑体" w:hAnsi="黑体" w:eastAsia="黑体"/>
                <w:color w:val="000000"/>
                <w:sz w:val="28"/>
                <w:szCs w:val="28"/>
              </w:rPr>
            </w:pPr>
            <w:r>
              <w:rPr>
                <w:rFonts w:hint="eastAsia" w:ascii="黑体" w:hAnsi="黑体" w:eastAsia="黑体"/>
                <w:color w:val="000000"/>
                <w:sz w:val="28"/>
                <w:szCs w:val="28"/>
              </w:rPr>
              <w:t>学时</w:t>
            </w:r>
          </w:p>
        </w:tc>
        <w:tc>
          <w:tcPr>
            <w:tcW w:w="1165" w:type="dxa"/>
            <w:tcBorders>
              <w:top w:val="single" w:color="auto"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黑体" w:hAnsi="黑体" w:eastAsia="黑体"/>
                <w:color w:val="000000"/>
                <w:sz w:val="28"/>
                <w:szCs w:val="28"/>
              </w:rPr>
            </w:pPr>
            <w:r>
              <w:rPr>
                <w:rFonts w:hint="eastAsia" w:ascii="黑体" w:hAnsi="黑体" w:eastAsia="黑体"/>
                <w:color w:val="000000"/>
                <w:sz w:val="28"/>
                <w:szCs w:val="28"/>
              </w:rPr>
              <w:t>学分</w:t>
            </w:r>
          </w:p>
        </w:tc>
        <w:tc>
          <w:tcPr>
            <w:tcW w:w="1165" w:type="dxa"/>
            <w:tcBorders>
              <w:top w:val="single" w:color="auto"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黑体" w:hAnsi="黑体" w:eastAsia="黑体"/>
                <w:color w:val="000000"/>
                <w:sz w:val="28"/>
                <w:szCs w:val="28"/>
              </w:rPr>
            </w:pPr>
            <w:r>
              <w:rPr>
                <w:rFonts w:hint="eastAsia" w:ascii="黑体" w:hAnsi="黑体" w:eastAsia="黑体"/>
                <w:color w:val="000000"/>
                <w:sz w:val="28"/>
                <w:szCs w:val="28"/>
              </w:rPr>
              <w:t>学时</w:t>
            </w:r>
          </w:p>
        </w:tc>
        <w:tc>
          <w:tcPr>
            <w:tcW w:w="1302" w:type="dxa"/>
            <w:tcBorders>
              <w:top w:val="single" w:color="auto"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黑体" w:hAnsi="黑体" w:eastAsia="黑体"/>
                <w:color w:val="000000"/>
                <w:sz w:val="28"/>
                <w:szCs w:val="28"/>
              </w:rPr>
            </w:pPr>
            <w:r>
              <w:rPr>
                <w:rFonts w:hint="eastAsia" w:ascii="黑体" w:hAnsi="黑体" w:eastAsia="黑体"/>
                <w:color w:val="000000"/>
                <w:sz w:val="28"/>
                <w:szCs w:val="28"/>
              </w:rPr>
              <w:t>学分</w:t>
            </w:r>
          </w:p>
        </w:tc>
        <w:tc>
          <w:tcPr>
            <w:tcW w:w="1068" w:type="dxa"/>
            <w:tcBorders>
              <w:top w:val="single" w:color="auto"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黑体" w:hAnsi="黑体" w:eastAsia="黑体"/>
                <w:color w:val="000000"/>
                <w:sz w:val="28"/>
                <w:szCs w:val="28"/>
              </w:rPr>
            </w:pPr>
            <w:r>
              <w:rPr>
                <w:rFonts w:hint="eastAsia" w:ascii="黑体" w:hAnsi="黑体" w:eastAsia="黑体"/>
                <w:color w:val="000000"/>
                <w:sz w:val="28"/>
                <w:szCs w:val="28"/>
              </w:rPr>
              <w:t>学时</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语文</w:t>
            </w:r>
          </w:p>
        </w:tc>
        <w:tc>
          <w:tcPr>
            <w:tcW w:w="11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8</w:t>
            </w:r>
          </w:p>
        </w:tc>
        <w:tc>
          <w:tcPr>
            <w:tcW w:w="1165" w:type="dxa"/>
            <w:gridSpan w:val="2"/>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144</w:t>
            </w:r>
          </w:p>
        </w:tc>
        <w:tc>
          <w:tcPr>
            <w:tcW w:w="11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3</w:t>
            </w:r>
          </w:p>
        </w:tc>
        <w:tc>
          <w:tcPr>
            <w:tcW w:w="1165" w:type="dxa"/>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54</w:t>
            </w:r>
          </w:p>
        </w:tc>
        <w:tc>
          <w:tcPr>
            <w:tcW w:w="130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p>
        </w:tc>
        <w:tc>
          <w:tcPr>
            <w:tcW w:w="1068" w:type="dxa"/>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历史</w:t>
            </w:r>
          </w:p>
        </w:tc>
        <w:tc>
          <w:tcPr>
            <w:tcW w:w="11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4</w:t>
            </w:r>
          </w:p>
        </w:tc>
        <w:tc>
          <w:tcPr>
            <w:tcW w:w="1165" w:type="dxa"/>
            <w:gridSpan w:val="2"/>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72</w:t>
            </w:r>
          </w:p>
        </w:tc>
        <w:tc>
          <w:tcPr>
            <w:tcW w:w="11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p>
        </w:tc>
        <w:tc>
          <w:tcPr>
            <w:tcW w:w="1165" w:type="dxa"/>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p>
        </w:tc>
        <w:tc>
          <w:tcPr>
            <w:tcW w:w="130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1</w:t>
            </w:r>
          </w:p>
        </w:tc>
        <w:tc>
          <w:tcPr>
            <w:tcW w:w="1068" w:type="dxa"/>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18</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数学</w:t>
            </w:r>
          </w:p>
        </w:tc>
        <w:tc>
          <w:tcPr>
            <w:tcW w:w="11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6</w:t>
            </w:r>
          </w:p>
        </w:tc>
        <w:tc>
          <w:tcPr>
            <w:tcW w:w="1165" w:type="dxa"/>
            <w:gridSpan w:val="2"/>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108</w:t>
            </w:r>
          </w:p>
        </w:tc>
        <w:tc>
          <w:tcPr>
            <w:tcW w:w="11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2</w:t>
            </w:r>
          </w:p>
        </w:tc>
        <w:tc>
          <w:tcPr>
            <w:tcW w:w="1165" w:type="dxa"/>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36</w:t>
            </w:r>
          </w:p>
        </w:tc>
        <w:tc>
          <w:tcPr>
            <w:tcW w:w="130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p>
        </w:tc>
        <w:tc>
          <w:tcPr>
            <w:tcW w:w="1068" w:type="dxa"/>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外语</w:t>
            </w:r>
          </w:p>
        </w:tc>
        <w:tc>
          <w:tcPr>
            <w:tcW w:w="11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6</w:t>
            </w:r>
          </w:p>
        </w:tc>
        <w:tc>
          <w:tcPr>
            <w:tcW w:w="1165" w:type="dxa"/>
            <w:gridSpan w:val="2"/>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108</w:t>
            </w:r>
          </w:p>
        </w:tc>
        <w:tc>
          <w:tcPr>
            <w:tcW w:w="11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2</w:t>
            </w:r>
          </w:p>
        </w:tc>
        <w:tc>
          <w:tcPr>
            <w:tcW w:w="1165" w:type="dxa"/>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36</w:t>
            </w:r>
          </w:p>
        </w:tc>
        <w:tc>
          <w:tcPr>
            <w:tcW w:w="130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p>
        </w:tc>
        <w:tc>
          <w:tcPr>
            <w:tcW w:w="1068" w:type="dxa"/>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信息技术</w:t>
            </w:r>
          </w:p>
        </w:tc>
        <w:tc>
          <w:tcPr>
            <w:tcW w:w="11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6</w:t>
            </w:r>
          </w:p>
        </w:tc>
        <w:tc>
          <w:tcPr>
            <w:tcW w:w="1165" w:type="dxa"/>
            <w:gridSpan w:val="2"/>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108</w:t>
            </w:r>
          </w:p>
        </w:tc>
        <w:tc>
          <w:tcPr>
            <w:tcW w:w="11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p>
        </w:tc>
        <w:tc>
          <w:tcPr>
            <w:tcW w:w="1165" w:type="dxa"/>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p>
        </w:tc>
        <w:tc>
          <w:tcPr>
            <w:tcW w:w="130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2</w:t>
            </w:r>
          </w:p>
        </w:tc>
        <w:tc>
          <w:tcPr>
            <w:tcW w:w="1068" w:type="dxa"/>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36</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体育与健康</w:t>
            </w:r>
          </w:p>
        </w:tc>
        <w:tc>
          <w:tcPr>
            <w:tcW w:w="11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3</w:t>
            </w:r>
          </w:p>
        </w:tc>
        <w:tc>
          <w:tcPr>
            <w:tcW w:w="1165" w:type="dxa"/>
            <w:gridSpan w:val="2"/>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54</w:t>
            </w:r>
          </w:p>
        </w:tc>
        <w:tc>
          <w:tcPr>
            <w:tcW w:w="11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5</w:t>
            </w:r>
          </w:p>
        </w:tc>
        <w:tc>
          <w:tcPr>
            <w:tcW w:w="1165" w:type="dxa"/>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320" w:firstLineChars="100"/>
              <w:rPr>
                <w:rFonts w:ascii="仿宋_GB2312" w:eastAsia="仿宋_GB2312"/>
                <w:color w:val="000000"/>
                <w:sz w:val="32"/>
              </w:rPr>
            </w:pPr>
            <w:r>
              <w:rPr>
                <w:rFonts w:hint="eastAsia" w:ascii="仿宋_GB2312" w:eastAsia="仿宋_GB2312"/>
                <w:color w:val="000000"/>
                <w:sz w:val="32"/>
              </w:rPr>
              <w:t>90</w:t>
            </w:r>
          </w:p>
        </w:tc>
        <w:tc>
          <w:tcPr>
            <w:tcW w:w="130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4</w:t>
            </w:r>
          </w:p>
        </w:tc>
        <w:tc>
          <w:tcPr>
            <w:tcW w:w="1068" w:type="dxa"/>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72</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艺术</w:t>
            </w:r>
          </w:p>
        </w:tc>
        <w:tc>
          <w:tcPr>
            <w:tcW w:w="11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2</w:t>
            </w:r>
          </w:p>
        </w:tc>
        <w:tc>
          <w:tcPr>
            <w:tcW w:w="1165" w:type="dxa"/>
            <w:gridSpan w:val="2"/>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36</w:t>
            </w:r>
          </w:p>
        </w:tc>
        <w:tc>
          <w:tcPr>
            <w:tcW w:w="11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p>
        </w:tc>
        <w:tc>
          <w:tcPr>
            <w:tcW w:w="1165" w:type="dxa"/>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p>
        </w:tc>
        <w:tc>
          <w:tcPr>
            <w:tcW w:w="130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2</w:t>
            </w:r>
          </w:p>
        </w:tc>
        <w:tc>
          <w:tcPr>
            <w:tcW w:w="1068" w:type="dxa"/>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36</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物理</w:t>
            </w:r>
          </w:p>
        </w:tc>
        <w:tc>
          <w:tcPr>
            <w:tcW w:w="11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2.5</w:t>
            </w:r>
          </w:p>
        </w:tc>
        <w:tc>
          <w:tcPr>
            <w:tcW w:w="1165" w:type="dxa"/>
            <w:gridSpan w:val="2"/>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45</w:t>
            </w:r>
          </w:p>
        </w:tc>
        <w:tc>
          <w:tcPr>
            <w:tcW w:w="11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p>
        </w:tc>
        <w:tc>
          <w:tcPr>
            <w:tcW w:w="1165" w:type="dxa"/>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p>
        </w:tc>
        <w:tc>
          <w:tcPr>
            <w:tcW w:w="130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0.5～2</w:t>
            </w:r>
          </w:p>
        </w:tc>
        <w:tc>
          <w:tcPr>
            <w:tcW w:w="1068" w:type="dxa"/>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9～36</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化学</w:t>
            </w:r>
          </w:p>
        </w:tc>
        <w:tc>
          <w:tcPr>
            <w:tcW w:w="11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2.5</w:t>
            </w:r>
          </w:p>
        </w:tc>
        <w:tc>
          <w:tcPr>
            <w:tcW w:w="1165" w:type="dxa"/>
            <w:gridSpan w:val="2"/>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45</w:t>
            </w:r>
          </w:p>
        </w:tc>
        <w:tc>
          <w:tcPr>
            <w:tcW w:w="11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p>
        </w:tc>
        <w:tc>
          <w:tcPr>
            <w:tcW w:w="1165" w:type="dxa"/>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p>
        </w:tc>
        <w:tc>
          <w:tcPr>
            <w:tcW w:w="130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0.5～2</w:t>
            </w:r>
          </w:p>
        </w:tc>
        <w:tc>
          <w:tcPr>
            <w:tcW w:w="1068" w:type="dxa"/>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9～36</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其他</w:t>
            </w:r>
          </w:p>
        </w:tc>
        <w:tc>
          <w:tcPr>
            <w:tcW w:w="11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p>
        </w:tc>
        <w:tc>
          <w:tcPr>
            <w:tcW w:w="1165" w:type="dxa"/>
            <w:gridSpan w:val="2"/>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p>
        </w:tc>
        <w:tc>
          <w:tcPr>
            <w:tcW w:w="11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3</w:t>
            </w:r>
          </w:p>
        </w:tc>
        <w:tc>
          <w:tcPr>
            <w:tcW w:w="1165" w:type="dxa"/>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54</w:t>
            </w:r>
          </w:p>
        </w:tc>
        <w:tc>
          <w:tcPr>
            <w:tcW w:w="130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p>
        </w:tc>
        <w:tc>
          <w:tcPr>
            <w:tcW w:w="1068" w:type="dxa"/>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444" w:hRule="atLeast"/>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合计</w:t>
            </w:r>
          </w:p>
        </w:tc>
        <w:tc>
          <w:tcPr>
            <w:tcW w:w="11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48</w:t>
            </w:r>
          </w:p>
        </w:tc>
        <w:tc>
          <w:tcPr>
            <w:tcW w:w="1165" w:type="dxa"/>
            <w:gridSpan w:val="2"/>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864</w:t>
            </w:r>
          </w:p>
        </w:tc>
        <w:tc>
          <w:tcPr>
            <w:tcW w:w="11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15</w:t>
            </w:r>
          </w:p>
        </w:tc>
        <w:tc>
          <w:tcPr>
            <w:tcW w:w="1165" w:type="dxa"/>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r>
              <w:rPr>
                <w:rFonts w:hint="eastAsia" w:ascii="仿宋_GB2312" w:eastAsia="仿宋_GB2312"/>
                <w:color w:val="000000"/>
                <w:sz w:val="32"/>
              </w:rPr>
              <w:t>270</w:t>
            </w:r>
          </w:p>
        </w:tc>
        <w:tc>
          <w:tcPr>
            <w:tcW w:w="130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overflowPunct w:val="0"/>
              <w:adjustRightInd w:val="0"/>
              <w:snapToGrid w:val="0"/>
              <w:ind w:firstLine="0"/>
              <w:jc w:val="center"/>
              <w:rPr>
                <w:rFonts w:ascii="仿宋_GB2312" w:eastAsia="仿宋_GB2312"/>
                <w:color w:val="000000"/>
                <w:sz w:val="32"/>
              </w:rPr>
            </w:pPr>
          </w:p>
        </w:tc>
        <w:tc>
          <w:tcPr>
            <w:tcW w:w="1068" w:type="dxa"/>
            <w:tcBorders>
              <w:top w:val="single" w:color="000000" w:sz="4" w:space="0"/>
              <w:left w:val="single" w:color="auto" w:sz="4" w:space="0"/>
              <w:bottom w:val="single" w:color="000000" w:sz="4" w:space="0"/>
              <w:right w:val="single" w:color="000000" w:sz="4" w:space="0"/>
            </w:tcBorders>
            <w:vAlign w:val="center"/>
          </w:tcPr>
          <w:p>
            <w:pPr>
              <w:overflowPunct w:val="0"/>
              <w:adjustRightInd w:val="0"/>
              <w:snapToGrid w:val="0"/>
              <w:ind w:firstLine="0"/>
              <w:jc w:val="center"/>
              <w:rPr>
                <w:rFonts w:ascii="仿宋_GB2312" w:eastAsia="仿宋_GB2312"/>
                <w:color w:val="000000"/>
                <w:sz w:val="32"/>
              </w:rPr>
            </w:pPr>
          </w:p>
        </w:tc>
      </w:tr>
    </w:tbl>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2</w:t>
      </w:r>
      <w:r>
        <w:rPr>
          <w:rFonts w:ascii="仿宋_GB2312" w:hAnsi="仿宋" w:eastAsia="仿宋_GB2312"/>
          <w:color w:val="000000"/>
          <w:sz w:val="28"/>
        </w:rPr>
        <w:t>.</w:t>
      </w:r>
      <w:r>
        <w:rPr>
          <w:rFonts w:hint="eastAsia" w:ascii="仿宋_GB2312" w:hAnsi="仿宋" w:eastAsia="仿宋_GB2312"/>
          <w:color w:val="000000" w:themeColor="text1"/>
          <w:sz w:val="28"/>
        </w:rPr>
        <w:t>高职阶段开设的课程为劳动教育、军事课、体育、安全教育、心理健康教育、职业礼仪、创新基础、社会公益素养培育、职业生涯规划、创业基础、大学语文</w:t>
      </w:r>
      <w:r>
        <w:rPr>
          <w:rFonts w:hint="eastAsia" w:ascii="仿宋_GB2312" w:hAnsi="仿宋" w:eastAsia="仿宋_GB2312"/>
          <w:color w:val="000000" w:themeColor="text1"/>
          <w:sz w:val="28"/>
          <w:lang w:eastAsia="zh-CN"/>
        </w:rPr>
        <w:t>、职业外语</w:t>
      </w:r>
      <w:r>
        <w:rPr>
          <w:rFonts w:hint="eastAsia" w:ascii="仿宋_GB2312" w:hAnsi="仿宋" w:eastAsia="仿宋_GB2312"/>
          <w:color w:val="000000" w:themeColor="text1"/>
          <w:sz w:val="28"/>
        </w:rPr>
        <w:t>。</w:t>
      </w:r>
    </w:p>
    <w:p>
      <w:pPr>
        <w:adjustRightInd w:val="0"/>
        <w:snapToGrid w:val="0"/>
        <w:spacing w:line="500" w:lineRule="exact"/>
        <w:ind w:firstLine="560" w:firstLineChars="200"/>
        <w:jc w:val="left"/>
        <w:rPr>
          <w:rFonts w:hint="eastAsia" w:ascii="仿宋_GB2312" w:hAnsi="仿宋" w:eastAsia="仿宋_GB2312"/>
          <w:snapToGrid w:val="0"/>
          <w:color w:val="000000" w:themeColor="text1"/>
          <w:sz w:val="28"/>
          <w:szCs w:val="28"/>
        </w:rPr>
      </w:pPr>
      <w:r>
        <w:rPr>
          <w:rFonts w:hint="eastAsia" w:ascii="仿宋_GB2312" w:hAnsi="仿宋" w:eastAsia="仿宋_GB2312"/>
          <w:color w:val="000000" w:themeColor="text1"/>
          <w:sz w:val="28"/>
        </w:rPr>
        <w:t>（1)大学生心理健康教育课，总学时10学时，1学分，在第七学期开设。其中理论教学6学时，由“心理健康教育”教研室组织实施教学；</w:t>
      </w:r>
      <w:r>
        <w:rPr>
          <w:rFonts w:hint="eastAsia" w:ascii="仿宋_GB2312" w:hAnsi="仿宋" w:eastAsia="仿宋_GB2312"/>
          <w:snapToGrid w:val="0"/>
          <w:color w:val="000000" w:themeColor="text1"/>
          <w:sz w:val="28"/>
          <w:szCs w:val="28"/>
        </w:rPr>
        <w:t>心理实践4学时，由学生工作处心理健康教育与咨询中心组织，各</w:t>
      </w:r>
      <w:r>
        <w:rPr>
          <w:rFonts w:hint="eastAsia" w:ascii="仿宋_GB2312" w:hAnsi="仿宋" w:eastAsia="仿宋_GB2312"/>
          <w:snapToGrid w:val="0"/>
          <w:color w:val="000000" w:themeColor="text1"/>
          <w:sz w:val="28"/>
          <w:szCs w:val="28"/>
          <w:lang w:eastAsia="zh-CN"/>
        </w:rPr>
        <w:t>系</w:t>
      </w:r>
      <w:r>
        <w:rPr>
          <w:rFonts w:hint="eastAsia" w:ascii="仿宋_GB2312" w:hAnsi="仿宋" w:eastAsia="仿宋_GB2312"/>
          <w:snapToGrid w:val="0"/>
          <w:color w:val="000000" w:themeColor="text1"/>
          <w:sz w:val="28"/>
          <w:szCs w:val="28"/>
        </w:rPr>
        <w:t>心理辅导站配合实施。</w:t>
      </w:r>
    </w:p>
    <w:p>
      <w:pPr>
        <w:pStyle w:val="2"/>
        <w:rPr>
          <w:rFonts w:hint="eastAsia"/>
          <w:color w:val="000000" w:themeColor="text1"/>
          <w:lang w:eastAsia="zh-CN"/>
        </w:rPr>
      </w:pP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(2)军事课，总学时</w:t>
      </w:r>
      <w:r>
        <w:rPr>
          <w:rFonts w:ascii="仿宋_GB2312" w:hAnsi="仿宋" w:eastAsia="仿宋_GB2312"/>
          <w:color w:val="000000"/>
          <w:sz w:val="28"/>
        </w:rPr>
        <w:t>148</w:t>
      </w:r>
      <w:r>
        <w:rPr>
          <w:rFonts w:hint="eastAsia" w:ascii="仿宋_GB2312" w:hAnsi="仿宋" w:eastAsia="仿宋_GB2312"/>
          <w:color w:val="000000"/>
          <w:sz w:val="28"/>
        </w:rPr>
        <w:t>学时，4学分。按照教育部、中央军委国防动员印发的《普通高等学校军事课教学大纲》的军事课的教学要求，军事课由军事技能训练和军事理论教学两部分构成。军事技能训练，</w:t>
      </w:r>
      <w:r>
        <w:rPr>
          <w:rFonts w:ascii="仿宋_GB2312" w:hAnsi="仿宋" w:eastAsia="仿宋_GB2312"/>
          <w:color w:val="000000"/>
          <w:sz w:val="28"/>
        </w:rPr>
        <w:t>112</w:t>
      </w:r>
      <w:r>
        <w:rPr>
          <w:rFonts w:hint="eastAsia" w:ascii="仿宋_GB2312" w:hAnsi="仿宋" w:eastAsia="仿宋_GB2312"/>
          <w:color w:val="000000"/>
          <w:sz w:val="28"/>
        </w:rPr>
        <w:t>学时，</w:t>
      </w:r>
      <w:r>
        <w:rPr>
          <w:rFonts w:ascii="仿宋_GB2312" w:hAnsi="仿宋" w:eastAsia="仿宋_GB2312"/>
          <w:color w:val="000000"/>
          <w:sz w:val="28"/>
        </w:rPr>
        <w:t>2</w:t>
      </w:r>
      <w:r>
        <w:rPr>
          <w:rFonts w:hint="eastAsia" w:ascii="仿宋_GB2312" w:hAnsi="仿宋" w:eastAsia="仿宋_GB2312"/>
          <w:color w:val="000000"/>
          <w:sz w:val="28"/>
        </w:rPr>
        <w:t>学分，第七学期军训，由学生工作处组织实施。军事理论教学，</w:t>
      </w:r>
      <w:r>
        <w:rPr>
          <w:rFonts w:ascii="仿宋_GB2312" w:hAnsi="仿宋" w:eastAsia="仿宋_GB2312"/>
          <w:color w:val="000000"/>
          <w:sz w:val="28"/>
        </w:rPr>
        <w:t>36</w:t>
      </w:r>
      <w:r>
        <w:rPr>
          <w:rFonts w:hint="eastAsia" w:ascii="仿宋_GB2312" w:hAnsi="仿宋" w:eastAsia="仿宋_GB2312"/>
          <w:color w:val="000000"/>
          <w:sz w:val="28"/>
        </w:rPr>
        <w:t>学时，</w:t>
      </w:r>
      <w:r>
        <w:rPr>
          <w:rFonts w:ascii="仿宋_GB2312" w:hAnsi="仿宋" w:eastAsia="仿宋_GB2312"/>
          <w:color w:val="000000"/>
          <w:sz w:val="28"/>
        </w:rPr>
        <w:t>2</w:t>
      </w:r>
      <w:r>
        <w:rPr>
          <w:rFonts w:hint="eastAsia" w:ascii="仿宋_GB2312" w:hAnsi="仿宋" w:eastAsia="仿宋_GB2312"/>
          <w:color w:val="000000"/>
          <w:sz w:val="28"/>
        </w:rPr>
        <w:t>学分，在第八学期开设，由军事理论教研室组织实施教学。</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(3)体育课，总学时72学时，2学分。在第八、九学期开设各36学时，每周2学时，由体育教研室组织实施教学。</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(4)职业礼仪课，总学时32学时，2学分。在第八或九学期开设，每周2 学时，由美育教研室组织实施教学。</w:t>
      </w:r>
    </w:p>
    <w:p>
      <w:pPr>
        <w:adjustRightInd w:val="0"/>
        <w:snapToGrid w:val="0"/>
        <w:spacing w:line="360" w:lineRule="auto"/>
        <w:ind w:firstLine="560" w:firstLineChars="200"/>
        <w:jc w:val="left"/>
        <w:rPr>
          <w:rFonts w:ascii="仿宋_GB2312" w:hAnsi="仿宋" w:eastAsia="仿宋_GB2312"/>
          <w:color w:val="000000"/>
          <w:sz w:val="28"/>
          <w:szCs w:val="22"/>
        </w:rPr>
      </w:pPr>
      <w:r>
        <w:rPr>
          <w:rFonts w:hint="eastAsia" w:ascii="仿宋_GB2312" w:hAnsi="仿宋" w:eastAsia="仿宋_GB2312"/>
          <w:color w:val="000000"/>
          <w:sz w:val="28"/>
          <w:szCs w:val="22"/>
        </w:rPr>
        <w:t>(5)安全教育课，总学时36学时，1学分，在第七学期至第九学期开设。24学时理论教学部分由保卫处安全教研室通过慕课实施，12学时实践课程由安全教研室组织开展消防灭火演练课、实战灭火演练、逃生疏散演练、防恐防暴力演练等活动，各系配合实施。</w:t>
      </w:r>
    </w:p>
    <w:p>
      <w:pPr>
        <w:adjustRightInd w:val="0"/>
        <w:snapToGrid w:val="0"/>
        <w:spacing w:line="360" w:lineRule="auto"/>
        <w:ind w:firstLine="560" w:firstLineChars="200"/>
        <w:jc w:val="left"/>
        <w:rPr>
          <w:rFonts w:ascii="仿宋_GB2312" w:eastAsia="仿宋_GB2312"/>
          <w:color w:val="000000"/>
          <w:sz w:val="28"/>
        </w:rPr>
      </w:pPr>
      <w:r>
        <w:rPr>
          <w:rFonts w:hint="eastAsia" w:ascii="仿宋_GB2312" w:hAnsi="仿宋" w:eastAsia="仿宋_GB2312"/>
          <w:color w:val="000000"/>
          <w:sz w:val="28"/>
        </w:rPr>
        <w:t>(6)社会公益素养培育课，</w:t>
      </w:r>
      <w:r>
        <w:rPr>
          <w:rFonts w:hint="eastAsia" w:ascii="仿宋_GB2312" w:eastAsia="仿宋_GB2312"/>
          <w:color w:val="000000"/>
          <w:sz w:val="28"/>
        </w:rPr>
        <w:t>总课时24课时，1学分。以课余实践为主、理论引导为辅，涵盖思想政治素养、公益志愿服务、社会实践能力等方面，以参与度（小时数、态度）为主要考核指标，全面提升高职学生的社会公益意识。社会公益素养培育课程要求学生在校期间每学期均要修读，在第七学期至第九学期开设，每学期8课时，不计为课内教学活动时间。</w:t>
      </w:r>
    </w:p>
    <w:p>
      <w:pPr>
        <w:adjustRightInd w:val="0"/>
        <w:snapToGrid w:val="0"/>
        <w:spacing w:line="360" w:lineRule="auto"/>
        <w:ind w:firstLine="560" w:firstLineChars="200"/>
        <w:jc w:val="left"/>
        <w:rPr>
          <w:rFonts w:ascii="仿宋_GB2312" w:hAnsi="仿宋" w:eastAsia="仿宋_GB2312"/>
          <w:color w:val="000000" w:themeColor="text1"/>
          <w:sz w:val="28"/>
        </w:rPr>
      </w:pPr>
      <w:r>
        <w:rPr>
          <w:rFonts w:hint="eastAsia" w:ascii="仿宋_GB2312" w:hAnsi="仿宋" w:eastAsia="仿宋_GB2312"/>
          <w:color w:val="000000"/>
          <w:sz w:val="28"/>
        </w:rPr>
        <w:t>（7）劳动教育课，16学时，1学分。主要围绕劳动精神、劳模精神、工匠精神、</w:t>
      </w:r>
      <w:r>
        <w:rPr>
          <w:rFonts w:hint="eastAsia" w:ascii="仿宋_GB2312" w:hAnsi="仿宋" w:eastAsia="仿宋_GB2312"/>
          <w:color w:val="000000" w:themeColor="text1"/>
          <w:sz w:val="28"/>
        </w:rPr>
        <w:t>劳动组织、劳动安全和劳动法规等方面设计。课程采用“一体设计、模块实施”的教学方式，课程总体由马克思主义学院劳动教育教研室设计，其中8学时理论教学（0.5学分）由马克思主义学院“劳动教育”教研室组织实施一般在第七学期开设，8学时实践教学（0.5学分）由所在专业系部负责，按照“劳动教育”教研室统一部署，在2个学年的实训</w:t>
      </w:r>
      <w:r>
        <w:rPr>
          <w:rFonts w:hint="eastAsia" w:ascii="仿宋_GB2312" w:hAnsi="仿宋" w:eastAsia="仿宋_GB2312" w:cs="宋体"/>
          <w:snapToGrid w:val="0"/>
          <w:color w:val="000000" w:themeColor="text1"/>
          <w:sz w:val="28"/>
          <w:szCs w:val="28"/>
        </w:rPr>
        <w:t>或</w:t>
      </w:r>
      <w:r>
        <w:rPr>
          <w:rFonts w:ascii="仿宋_GB2312" w:hAnsi="仿宋" w:eastAsia="仿宋_GB2312" w:cs="宋体"/>
          <w:snapToGrid w:val="0"/>
          <w:color w:val="000000" w:themeColor="text1"/>
          <w:sz w:val="28"/>
          <w:szCs w:val="28"/>
        </w:rPr>
        <w:t>劳动周</w:t>
      </w:r>
      <w:r>
        <w:rPr>
          <w:rFonts w:hint="eastAsia" w:ascii="仿宋_GB2312" w:hAnsi="仿宋" w:eastAsia="仿宋_GB2312"/>
          <w:color w:val="000000" w:themeColor="text1"/>
          <w:sz w:val="28"/>
        </w:rPr>
        <w:t>中组织劳模、行业企业能工巧匠、专业教师</w:t>
      </w:r>
      <w:r>
        <w:rPr>
          <w:rFonts w:ascii="仿宋_GB2312" w:hAnsi="仿宋" w:eastAsia="仿宋_GB2312"/>
          <w:color w:val="000000" w:themeColor="text1"/>
          <w:sz w:val="28"/>
        </w:rPr>
        <w:t>采用专题讲座、主题演讲、劳动技能竞赛、劳动成果展示、劳动项目实践等形式进行</w:t>
      </w:r>
      <w:r>
        <w:rPr>
          <w:rFonts w:hint="eastAsia" w:ascii="仿宋_GB2312" w:hAnsi="仿宋" w:eastAsia="仿宋_GB2312"/>
          <w:color w:val="000000" w:themeColor="text1"/>
          <w:sz w:val="28"/>
        </w:rPr>
        <w:t>。</w:t>
      </w:r>
      <w:r>
        <w:rPr>
          <w:rFonts w:hint="eastAsia" w:ascii="仿宋_GB2312" w:hAnsi="仿宋" w:eastAsia="仿宋_GB2312" w:cs="宋体"/>
          <w:snapToGrid w:val="0"/>
          <w:color w:val="000000" w:themeColor="text1"/>
          <w:sz w:val="28"/>
          <w:szCs w:val="28"/>
        </w:rPr>
        <w:t>完成实训环节视为完成劳动课程实践教学。</w:t>
      </w:r>
    </w:p>
    <w:p>
      <w:pPr>
        <w:adjustRightInd w:val="0"/>
        <w:snapToGrid w:val="0"/>
        <w:spacing w:line="360" w:lineRule="auto"/>
        <w:ind w:firstLine="560" w:firstLineChars="200"/>
        <w:jc w:val="left"/>
        <w:rPr>
          <w:rFonts w:hint="eastAsia" w:ascii="仿宋_GB2312" w:eastAsia="仿宋_GB2312"/>
          <w:color w:val="000000" w:themeColor="text1"/>
          <w:sz w:val="28"/>
        </w:rPr>
      </w:pPr>
      <w:r>
        <w:rPr>
          <w:rFonts w:hint="eastAsia" w:ascii="仿宋_GB2312" w:hAnsi="仿宋" w:eastAsia="仿宋_GB2312"/>
          <w:color w:val="000000" w:themeColor="text1"/>
          <w:sz w:val="28"/>
        </w:rPr>
        <w:t>（8）</w:t>
      </w:r>
      <w:r>
        <w:rPr>
          <w:rFonts w:hint="eastAsia" w:ascii="仿宋_GB2312" w:eastAsia="仿宋_GB2312"/>
          <w:color w:val="000000" w:themeColor="text1"/>
          <w:sz w:val="28"/>
        </w:rPr>
        <w:t>大学语文课（中华优秀传统文化），32学时，2学分，每周2课时，</w:t>
      </w:r>
      <w:r>
        <w:rPr>
          <w:rFonts w:ascii="仿宋_GB2312" w:eastAsia="仿宋_GB2312"/>
          <w:color w:val="000000" w:themeColor="text1"/>
          <w:sz w:val="28"/>
        </w:rPr>
        <w:t>由大学语文教研室组织实施教学</w:t>
      </w:r>
      <w:r>
        <w:rPr>
          <w:rFonts w:hint="eastAsia" w:ascii="仿宋_GB2312" w:eastAsia="仿宋_GB2312"/>
          <w:color w:val="000000" w:themeColor="text1"/>
          <w:sz w:val="28"/>
        </w:rPr>
        <w:t>。</w:t>
      </w:r>
    </w:p>
    <w:p>
      <w:pPr>
        <w:adjustRightInd w:val="0"/>
        <w:snapToGrid w:val="0"/>
        <w:spacing w:line="360" w:lineRule="auto"/>
        <w:ind w:firstLine="560" w:firstLineChars="200"/>
        <w:jc w:val="left"/>
        <w:rPr>
          <w:rFonts w:eastAsia="仿宋_GB2312"/>
          <w:color w:val="000000"/>
          <w:sz w:val="28"/>
        </w:rPr>
      </w:pPr>
      <w:r>
        <w:rPr>
          <w:rFonts w:hint="eastAsia" w:ascii="仿宋_GB2312" w:hAnsi="仿宋" w:eastAsia="仿宋_GB2312" w:cs="宋体"/>
          <w:snapToGrid w:val="0"/>
          <w:color w:val="000000" w:themeColor="text1"/>
          <w:sz w:val="28"/>
          <w:szCs w:val="28"/>
          <w:lang w:val="en-US" w:eastAsia="zh-CN"/>
        </w:rPr>
        <w:t>（9）职业外语，66学时，3学分，第7学期30学时，第8学期36学时。另外依托网络教学开设62学时，由职业外语教研室组织教学。</w:t>
      </w:r>
    </w:p>
    <w:p>
      <w:pPr>
        <w:adjustRightInd w:val="0"/>
        <w:snapToGrid w:val="0"/>
        <w:spacing w:line="360" w:lineRule="auto"/>
        <w:ind w:firstLine="560" w:firstLineChars="200"/>
        <w:jc w:val="left"/>
        <w:rPr>
          <w:rFonts w:ascii="仿宋_GB2312" w:eastAsia="仿宋_GB2312"/>
          <w:color w:val="000000" w:themeColor="text1"/>
          <w:sz w:val="28"/>
        </w:rPr>
      </w:pPr>
      <w:r>
        <w:rPr>
          <w:rFonts w:hint="eastAsia" w:ascii="仿宋_GB2312" w:eastAsia="仿宋_GB2312"/>
          <w:color w:val="000000" w:themeColor="text1"/>
          <w:sz w:val="28"/>
        </w:rPr>
        <w:t>（</w:t>
      </w:r>
      <w:r>
        <w:rPr>
          <w:rFonts w:hint="eastAsia" w:ascii="仿宋_GB2312" w:eastAsia="仿宋_GB2312"/>
          <w:color w:val="000000" w:themeColor="text1"/>
          <w:sz w:val="28"/>
          <w:lang w:val="en-US" w:eastAsia="zh-CN"/>
        </w:rPr>
        <w:t>10</w:t>
      </w:r>
      <w:r>
        <w:rPr>
          <w:rFonts w:hint="eastAsia" w:ascii="仿宋_GB2312" w:eastAsia="仿宋_GB2312"/>
          <w:color w:val="000000" w:themeColor="text1"/>
          <w:sz w:val="28"/>
        </w:rPr>
        <w:t>）创新创业课程体系包括职业生涯规划、创新基础和创业基础三门课程，总计72学时，3学分。</w:t>
      </w:r>
    </w:p>
    <w:p>
      <w:pPr>
        <w:adjustRightInd w:val="0"/>
        <w:snapToGrid w:val="0"/>
        <w:spacing w:line="360" w:lineRule="auto"/>
        <w:ind w:firstLine="560" w:firstLineChars="200"/>
        <w:jc w:val="left"/>
        <w:rPr>
          <w:rFonts w:eastAsia="仿宋_GB2312"/>
          <w:color w:val="000000" w:themeColor="text1"/>
          <w:sz w:val="28"/>
        </w:rPr>
      </w:pPr>
      <w:r>
        <w:rPr>
          <w:rFonts w:hint="eastAsia" w:ascii="仿宋_GB2312" w:eastAsia="仿宋_GB2312"/>
          <w:color w:val="000000" w:themeColor="text1"/>
          <w:sz w:val="28"/>
        </w:rPr>
        <w:t>第七学期开设职业生涯规划课程，24学时，</w:t>
      </w:r>
      <w:r>
        <w:rPr>
          <w:rFonts w:hint="eastAsia" w:ascii="仿宋_GB2312" w:hAnsi="仿宋" w:eastAsia="仿宋_GB2312"/>
          <w:color w:val="000000" w:themeColor="text1"/>
          <w:sz w:val="28"/>
        </w:rPr>
        <w:t>1学分，由职业生涯规划教研室组织实施教学。</w:t>
      </w:r>
    </w:p>
    <w:p>
      <w:pPr>
        <w:adjustRightInd w:val="0"/>
        <w:snapToGrid w:val="0"/>
        <w:spacing w:line="360" w:lineRule="auto"/>
        <w:ind w:firstLine="560" w:firstLineChars="200"/>
        <w:jc w:val="left"/>
        <w:rPr>
          <w:rFonts w:ascii="仿宋_GB2312" w:hAnsi="仿宋" w:eastAsia="仿宋_GB2312"/>
          <w:color w:val="000000" w:themeColor="text1"/>
          <w:sz w:val="28"/>
        </w:rPr>
      </w:pPr>
      <w:r>
        <w:rPr>
          <w:rFonts w:hint="eastAsia" w:ascii="仿宋_GB2312" w:hAnsi="仿宋" w:eastAsia="仿宋_GB2312"/>
          <w:color w:val="000000" w:themeColor="text1"/>
          <w:sz w:val="28"/>
        </w:rPr>
        <w:t>第八学期开设创新基础课程，24学时，1学分，以“慕课+面授”形式开展教学,每周4学时，由创新基础教研室提供课程资源，各专业教研室主任排课，专业老师实施具体教学。</w:t>
      </w:r>
    </w:p>
    <w:p>
      <w:pPr>
        <w:adjustRightInd w:val="0"/>
        <w:snapToGrid w:val="0"/>
        <w:spacing w:line="360" w:lineRule="auto"/>
        <w:ind w:firstLine="560" w:firstLineChars="200"/>
        <w:jc w:val="left"/>
        <w:rPr>
          <w:rFonts w:hint="eastAsia" w:ascii="仿宋_GB2312" w:hAnsi="仿宋" w:eastAsia="仿宋_GB2312"/>
          <w:color w:val="000000" w:themeColor="text1"/>
          <w:sz w:val="28"/>
        </w:rPr>
      </w:pPr>
      <w:r>
        <w:rPr>
          <w:rFonts w:hint="eastAsia" w:ascii="仿宋_GB2312" w:eastAsia="仿宋_GB2312"/>
          <w:color w:val="000000" w:themeColor="text1"/>
          <w:sz w:val="28"/>
        </w:rPr>
        <w:t>第九学期开设创业基础课程，24学时，</w:t>
      </w:r>
      <w:r>
        <w:rPr>
          <w:rFonts w:hint="eastAsia" w:ascii="仿宋_GB2312" w:hAnsi="仿宋" w:eastAsia="仿宋_GB2312"/>
          <w:color w:val="000000" w:themeColor="text1"/>
          <w:sz w:val="28"/>
        </w:rPr>
        <w:t>1学分，由创业基础教研室组织实施教学。</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eastAsia="仿宋_GB2312"/>
          <w:color w:val="000000"/>
          <w:sz w:val="28"/>
        </w:rPr>
        <w:t>此外，各专业应根据自身需要在人才培养方案中明确专业课创新创业教育具体要求，将创新创业教育与专业教育相相融合，每个专业至少开设3门创新创业类课程。（责任部门：创新创业创造教育学院、各系）</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3</w:t>
      </w:r>
      <w:r>
        <w:rPr>
          <w:rFonts w:ascii="仿宋_GB2312" w:hAnsi="仿宋" w:eastAsia="仿宋_GB2312"/>
          <w:color w:val="000000"/>
          <w:sz w:val="28"/>
        </w:rPr>
        <w:t>.</w:t>
      </w:r>
      <w:r>
        <w:rPr>
          <w:rFonts w:hint="eastAsia" w:ascii="仿宋_GB2312" w:hAnsi="仿宋" w:eastAsia="仿宋_GB2312"/>
          <w:color w:val="000000"/>
          <w:sz w:val="28"/>
        </w:rPr>
        <w:t>通识教育选修课主要由自然社科的文化类、艺术素质、心理健康教育类、军事理论类、体育类、四史教育类、不同专业大类的专业基础类等课程构成。</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szCs w:val="22"/>
        </w:rPr>
        <w:t>（1）学生在中职阶段应完成选修课程不少于15学分。体育与健康的限定性选修内容，须在校期间持续开设。“其他课程”为限定选修课程，可为职业模块，也可为拓展模块。语文、数学、外语的限定选修学分为职业模块内容，体育与健康的限定选修学分为拓展模块内容。</w:t>
      </w:r>
    </w:p>
    <w:p>
      <w:pPr>
        <w:adjustRightInd w:val="0"/>
        <w:snapToGrid w:val="0"/>
        <w:spacing w:line="360" w:lineRule="auto"/>
        <w:ind w:firstLine="560" w:firstLineChars="200"/>
        <w:jc w:val="left"/>
        <w:rPr>
          <w:rFonts w:ascii="仿宋_GB2312" w:eastAsia="仿宋_GB2312"/>
          <w:color w:val="000000"/>
          <w:sz w:val="28"/>
        </w:rPr>
      </w:pPr>
      <w:r>
        <w:rPr>
          <w:rFonts w:hint="eastAsia" w:ascii="仿宋_GB2312" w:hAnsi="仿宋" w:eastAsia="仿宋_GB2312"/>
          <w:color w:val="000000"/>
          <w:sz w:val="28"/>
        </w:rPr>
        <w:t>（2）高职阶段不少于3学分（60学时、至少三门课）的课程，其中</w:t>
      </w:r>
      <w:r>
        <w:rPr>
          <w:rFonts w:hint="eastAsia" w:ascii="仿宋_GB2312" w:eastAsia="仿宋_GB2312"/>
          <w:color w:val="000000"/>
          <w:sz w:val="28"/>
        </w:rPr>
        <w:t>从“党史、新中国史、改革开放史、社会主义发展史”中至少选修 1 门选择性必修课程，</w:t>
      </w:r>
      <w:r>
        <w:rPr>
          <w:rFonts w:hint="eastAsia" w:ascii="仿宋_GB2312" w:hAnsi="仿宋" w:eastAsia="仿宋_GB2312"/>
          <w:color w:val="000000"/>
          <w:sz w:val="28"/>
        </w:rPr>
        <w:t>未修满学分不具有毕业资格。</w:t>
      </w:r>
    </w:p>
    <w:p>
      <w:pPr>
        <w:adjustRightInd w:val="0"/>
        <w:snapToGrid w:val="0"/>
        <w:spacing w:line="360" w:lineRule="auto"/>
        <w:ind w:firstLine="562" w:firstLineChars="200"/>
        <w:jc w:val="left"/>
        <w:rPr>
          <w:rFonts w:ascii="仿宋_GB2312" w:hAnsi="仿宋" w:eastAsia="仿宋_GB2312"/>
          <w:b/>
          <w:color w:val="000000"/>
          <w:sz w:val="28"/>
        </w:rPr>
      </w:pPr>
      <w:r>
        <w:rPr>
          <w:rFonts w:hint="eastAsia" w:ascii="仿宋_GB2312" w:hAnsi="仿宋" w:eastAsia="仿宋_GB2312"/>
          <w:b/>
          <w:color w:val="000000"/>
          <w:sz w:val="28"/>
        </w:rPr>
        <w:t>（三）专业职业能力（专业技能）教育课程体系的开设要求</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专业职</w:t>
      </w:r>
      <w:r>
        <w:rPr>
          <w:rFonts w:hint="eastAsia" w:ascii="仿宋_GB2312" w:hAnsi="仿宋" w:eastAsia="仿宋_GB2312"/>
          <w:color w:val="000000" w:themeColor="text1"/>
          <w:sz w:val="28"/>
        </w:rPr>
        <w:t>业能力教育课</w:t>
      </w:r>
      <w:r>
        <w:rPr>
          <w:rFonts w:hint="eastAsia" w:ascii="仿宋_GB2312" w:hAnsi="仿宋" w:eastAsia="仿宋_GB2312"/>
          <w:color w:val="000000" w:themeColor="text1"/>
          <w:sz w:val="28"/>
          <w:u w:val="none"/>
        </w:rPr>
        <w:t>程体系由专业核心、</w:t>
      </w:r>
      <w:r>
        <w:rPr>
          <w:rFonts w:hint="eastAsia" w:ascii="仿宋_GB2312" w:hAnsi="仿宋" w:eastAsia="仿宋_GB2312"/>
          <w:color w:val="000000" w:themeColor="text1"/>
          <w:sz w:val="28"/>
          <w:u w:val="none"/>
          <w:lang w:eastAsia="zh-CN"/>
        </w:rPr>
        <w:t>专业（技能）方向、综合</w:t>
      </w:r>
      <w:r>
        <w:rPr>
          <w:rFonts w:hint="eastAsia" w:ascii="仿宋_GB2312" w:hAnsi="仿宋" w:eastAsia="仿宋_GB2312"/>
          <w:color w:val="000000" w:themeColor="text1"/>
          <w:sz w:val="28"/>
          <w:u w:val="none"/>
        </w:rPr>
        <w:t>实</w:t>
      </w:r>
      <w:r>
        <w:rPr>
          <w:rFonts w:hint="eastAsia" w:ascii="仿宋_GB2312" w:hAnsi="仿宋" w:eastAsia="仿宋_GB2312"/>
          <w:color w:val="000000"/>
          <w:sz w:val="28"/>
        </w:rPr>
        <w:t>训等三类课程构成。以基于工作过程系统化的课程开发理论为指导，以深入细致的专业调研、岗位典型工作任务为基础，以实践专家访谈会为载体，构建工学结合一体化课程体系。</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1.中职阶段</w:t>
      </w:r>
      <w:r>
        <w:rPr>
          <w:rFonts w:hint="eastAsia" w:ascii="仿宋_GB2312" w:hAnsi="仿宋" w:eastAsia="仿宋_GB2312"/>
          <w:color w:val="000000" w:themeColor="text1"/>
          <w:sz w:val="28"/>
        </w:rPr>
        <w:t>的专业</w:t>
      </w:r>
      <w:r>
        <w:rPr>
          <w:rFonts w:hint="eastAsia" w:ascii="仿宋_GB2312" w:hAnsi="仿宋" w:eastAsia="仿宋_GB2312"/>
          <w:color w:val="000000" w:themeColor="text1"/>
          <w:sz w:val="28"/>
          <w:lang w:eastAsia="zh-CN"/>
        </w:rPr>
        <w:t>职业能力</w:t>
      </w:r>
      <w:r>
        <w:rPr>
          <w:rFonts w:hint="eastAsia" w:ascii="仿宋_GB2312" w:hAnsi="仿宋" w:eastAsia="仿宋_GB2312"/>
          <w:color w:val="000000" w:themeColor="text1"/>
          <w:sz w:val="28"/>
        </w:rPr>
        <w:t>课程不少</w:t>
      </w:r>
      <w:r>
        <w:rPr>
          <w:rFonts w:hint="eastAsia" w:ascii="仿宋_GB2312" w:hAnsi="仿宋" w:eastAsia="仿宋_GB2312"/>
          <w:color w:val="000000"/>
          <w:sz w:val="28"/>
        </w:rPr>
        <w:t>于1750学时。</w:t>
      </w:r>
    </w:p>
    <w:p>
      <w:pPr>
        <w:adjustRightInd w:val="0"/>
        <w:snapToGrid w:val="0"/>
        <w:spacing w:line="360" w:lineRule="auto"/>
        <w:ind w:firstLine="560" w:firstLineChars="200"/>
        <w:jc w:val="left"/>
        <w:rPr>
          <w:rFonts w:ascii="仿宋_GB2312" w:hAnsi="仿宋" w:eastAsia="仿宋_GB2312"/>
          <w:color w:val="000000"/>
          <w:sz w:val="28"/>
          <w:highlight w:val="yellow"/>
        </w:rPr>
      </w:pPr>
      <w:r>
        <w:rPr>
          <w:rFonts w:hint="eastAsia" w:ascii="仿宋_GB2312" w:hAnsi="仿宋" w:eastAsia="仿宋_GB2312"/>
          <w:color w:val="000000"/>
          <w:sz w:val="28"/>
        </w:rPr>
        <w:t>应以教育部中等职业学校专业教学标准为基准，与联办校共同构建中高衔接层次分明、具有可实施性的专业职业能力教育课程体系。（教育部中等职业学校专业教学标准链接网址：http://www.moe.gov.cn/s78/A07/zcs_ztzl/2017_zt06/17zt06_bznr/bznr_zdzyxxzyml/。</w:t>
      </w:r>
    </w:p>
    <w:p>
      <w:pPr>
        <w:numPr>
          <w:ilvl w:val="0"/>
          <w:numId w:val="2"/>
        </w:numPr>
        <w:adjustRightInd w:val="0"/>
        <w:snapToGrid w:val="0"/>
        <w:spacing w:line="360" w:lineRule="auto"/>
        <w:ind w:firstLine="562" w:firstLineChars="200"/>
        <w:jc w:val="left"/>
        <w:rPr>
          <w:rFonts w:ascii="仿宋_GB2312" w:hAnsi="仿宋" w:eastAsia="仿宋_GB2312"/>
          <w:b/>
          <w:color w:val="000000"/>
          <w:sz w:val="28"/>
        </w:rPr>
      </w:pPr>
      <w:r>
        <w:rPr>
          <w:rFonts w:hint="eastAsia" w:ascii="仿宋_GB2312" w:hAnsi="仿宋" w:eastAsia="仿宋_GB2312"/>
          <w:b/>
          <w:color w:val="000000"/>
          <w:sz w:val="28"/>
        </w:rPr>
        <w:t>专业核心课程</w:t>
      </w:r>
    </w:p>
    <w:p>
      <w:pPr>
        <w:adjustRightInd w:val="0"/>
        <w:snapToGrid w:val="0"/>
        <w:spacing w:line="360" w:lineRule="auto"/>
        <w:ind w:firstLine="560" w:firstLineChars="200"/>
        <w:jc w:val="left"/>
        <w:rPr>
          <w:rFonts w:hint="default" w:ascii="仿宋_GB2312" w:hAnsi="仿宋" w:eastAsia="仿宋_GB2312"/>
          <w:b/>
          <w:color w:val="000000" w:themeColor="text1"/>
          <w:sz w:val="28"/>
          <w:lang w:val="en-US" w:eastAsia="zh-CN"/>
        </w:rPr>
      </w:pPr>
      <w:r>
        <w:rPr>
          <w:rFonts w:hint="eastAsia" w:ascii="仿宋_GB2312" w:hAnsi="仿宋" w:eastAsia="仿宋_GB2312"/>
          <w:color w:val="000000" w:themeColor="text1"/>
          <w:sz w:val="28"/>
        </w:rPr>
        <w:t>专业核心课程应与中职培养目标相适应，主要提供职业入门的初级教育，是从事本专业岗位群工作必须具备的基本知识和技术技能的教育课程。中职阶段专业核心课总学时应不少于</w:t>
      </w:r>
      <w:r>
        <w:rPr>
          <w:rFonts w:hint="eastAsia" w:ascii="仿宋_GB2312" w:hAnsi="仿宋" w:eastAsia="仿宋_GB2312"/>
          <w:color w:val="000000" w:themeColor="text1"/>
          <w:sz w:val="28"/>
          <w:lang w:val="en-US" w:eastAsia="zh-CN"/>
        </w:rPr>
        <w:t>65</w:t>
      </w:r>
      <w:r>
        <w:rPr>
          <w:rFonts w:hint="eastAsia" w:ascii="仿宋_GB2312" w:hAnsi="仿宋" w:eastAsia="仿宋_GB2312"/>
          <w:color w:val="000000" w:themeColor="text1"/>
          <w:sz w:val="28"/>
        </w:rPr>
        <w:t>0学时（</w:t>
      </w:r>
      <w:r>
        <w:rPr>
          <w:rFonts w:hint="eastAsia" w:ascii="仿宋_GB2312" w:hAnsi="仿宋" w:eastAsia="仿宋_GB2312"/>
          <w:color w:val="000000" w:themeColor="text1"/>
          <w:sz w:val="28"/>
          <w:lang w:val="en-US" w:eastAsia="zh-CN"/>
        </w:rPr>
        <w:t>36</w:t>
      </w:r>
      <w:r>
        <w:rPr>
          <w:rFonts w:hint="eastAsia" w:ascii="仿宋_GB2312" w:hAnsi="仿宋" w:eastAsia="仿宋_GB2312"/>
          <w:color w:val="000000" w:themeColor="text1"/>
          <w:sz w:val="28"/>
        </w:rPr>
        <w:t>学分）。</w:t>
      </w:r>
    </w:p>
    <w:p>
      <w:pPr>
        <w:adjustRightInd w:val="0"/>
        <w:snapToGrid w:val="0"/>
        <w:spacing w:line="360" w:lineRule="auto"/>
        <w:ind w:firstLine="562" w:firstLineChars="200"/>
        <w:jc w:val="left"/>
        <w:rPr>
          <w:rFonts w:ascii="仿宋_GB2312" w:hAnsi="仿宋" w:eastAsia="仿宋_GB2312"/>
          <w:b/>
          <w:color w:val="000000"/>
          <w:sz w:val="28"/>
          <w:highlight w:val="yellow"/>
        </w:rPr>
      </w:pPr>
      <w:r>
        <w:rPr>
          <w:rFonts w:hint="eastAsia" w:ascii="仿宋_GB2312" w:hAnsi="仿宋" w:eastAsia="仿宋_GB2312"/>
          <w:b/>
          <w:color w:val="000000"/>
          <w:sz w:val="28"/>
        </w:rPr>
        <w:t>（2）专业（技能）方向课程</w:t>
      </w:r>
    </w:p>
    <w:p>
      <w:pPr>
        <w:adjustRightInd w:val="0"/>
        <w:snapToGrid w:val="0"/>
        <w:spacing w:line="360" w:lineRule="auto"/>
        <w:ind w:firstLine="560" w:firstLineChars="200"/>
        <w:jc w:val="left"/>
        <w:rPr>
          <w:rFonts w:hint="default" w:ascii="仿宋_GB2312" w:hAnsi="仿宋" w:eastAsia="仿宋_GB2312"/>
          <w:b/>
          <w:color w:val="000000" w:themeColor="text1"/>
          <w:sz w:val="28"/>
          <w:lang w:val="en-US" w:eastAsia="zh-CN"/>
        </w:rPr>
      </w:pPr>
      <w:r>
        <w:rPr>
          <w:rFonts w:hint="eastAsia" w:ascii="仿宋_GB2312" w:hAnsi="仿宋" w:eastAsia="仿宋_GB2312"/>
          <w:color w:val="000000"/>
          <w:sz w:val="28"/>
        </w:rPr>
        <w:t>专业（技能）方向课程要与职业培养目标相适应，是从事本专业初级岗位工作必须具备的知识和技术技能的教育课程。中职阶段专业（技能）方向课总</w:t>
      </w:r>
      <w:r>
        <w:rPr>
          <w:rFonts w:hint="eastAsia" w:ascii="仿宋_GB2312" w:hAnsi="仿宋" w:eastAsia="仿宋_GB2312"/>
          <w:color w:val="000000" w:themeColor="text1"/>
          <w:sz w:val="28"/>
        </w:rPr>
        <w:t>学时应不</w:t>
      </w:r>
      <w:r>
        <w:rPr>
          <w:rFonts w:hint="eastAsia" w:ascii="仿宋_GB2312" w:hAnsi="仿宋" w:eastAsia="仿宋_GB2312"/>
          <w:color w:val="000000" w:themeColor="text1"/>
          <w:sz w:val="28"/>
          <w:lang w:eastAsia="zh-CN"/>
        </w:rPr>
        <w:t>高</w:t>
      </w:r>
      <w:r>
        <w:rPr>
          <w:rFonts w:hint="eastAsia" w:ascii="仿宋_GB2312" w:hAnsi="仿宋" w:eastAsia="仿宋_GB2312"/>
          <w:color w:val="000000" w:themeColor="text1"/>
          <w:sz w:val="28"/>
        </w:rPr>
        <w:t>于</w:t>
      </w:r>
      <w:r>
        <w:rPr>
          <w:rFonts w:hint="eastAsia" w:ascii="仿宋_GB2312" w:hAnsi="仿宋" w:eastAsia="仿宋_GB2312"/>
          <w:color w:val="000000" w:themeColor="text1"/>
          <w:sz w:val="28"/>
          <w:lang w:val="en-US" w:eastAsia="zh-CN"/>
        </w:rPr>
        <w:t>1000</w:t>
      </w:r>
      <w:r>
        <w:rPr>
          <w:rFonts w:hint="eastAsia" w:ascii="仿宋_GB2312" w:hAnsi="仿宋" w:eastAsia="仿宋_GB2312"/>
          <w:color w:val="000000" w:themeColor="text1"/>
          <w:sz w:val="28"/>
        </w:rPr>
        <w:t>学时（</w:t>
      </w:r>
      <w:r>
        <w:rPr>
          <w:rFonts w:hint="eastAsia" w:ascii="仿宋_GB2312" w:hAnsi="仿宋" w:eastAsia="仿宋_GB2312"/>
          <w:color w:val="000000" w:themeColor="text1"/>
          <w:sz w:val="28"/>
          <w:lang w:val="en-US" w:eastAsia="zh-CN"/>
        </w:rPr>
        <w:t>56</w:t>
      </w:r>
      <w:r>
        <w:rPr>
          <w:rFonts w:hint="eastAsia" w:ascii="仿宋_GB2312" w:hAnsi="仿宋" w:eastAsia="仿宋_GB2312"/>
          <w:color w:val="000000" w:themeColor="text1"/>
          <w:sz w:val="28"/>
        </w:rPr>
        <w:t>学分）。</w:t>
      </w:r>
    </w:p>
    <w:p>
      <w:pPr>
        <w:numPr>
          <w:ilvl w:val="0"/>
          <w:numId w:val="3"/>
        </w:numPr>
        <w:adjustRightInd w:val="0"/>
        <w:snapToGrid w:val="0"/>
        <w:spacing w:line="360" w:lineRule="auto"/>
        <w:ind w:firstLine="562" w:firstLineChars="200"/>
        <w:jc w:val="left"/>
        <w:rPr>
          <w:rFonts w:ascii="仿宋_GB2312" w:hAnsi="仿宋" w:eastAsia="仿宋_GB2312"/>
          <w:b/>
          <w:color w:val="000000"/>
          <w:sz w:val="28"/>
        </w:rPr>
      </w:pPr>
      <w:r>
        <w:rPr>
          <w:rFonts w:hint="eastAsia" w:ascii="仿宋_GB2312" w:hAnsi="仿宋" w:eastAsia="仿宋_GB2312"/>
          <w:b/>
          <w:color w:val="000000"/>
          <w:sz w:val="28"/>
        </w:rPr>
        <w:t>综合实训</w:t>
      </w:r>
    </w:p>
    <w:p>
      <w:pPr>
        <w:adjustRightInd w:val="0"/>
        <w:snapToGrid w:val="0"/>
        <w:spacing w:line="360" w:lineRule="auto"/>
        <w:ind w:firstLine="560" w:firstLineChars="200"/>
        <w:jc w:val="left"/>
        <w:rPr>
          <w:rFonts w:hint="eastAsia" w:ascii="仿宋_GB2312" w:hAnsi="仿宋" w:eastAsia="仿宋_GB2312"/>
          <w:color w:val="000000" w:themeColor="text1"/>
          <w:sz w:val="28"/>
          <w:lang w:val="en-US" w:eastAsia="zh-CN"/>
        </w:rPr>
      </w:pPr>
      <w:r>
        <w:rPr>
          <w:rFonts w:hint="eastAsia" w:ascii="仿宋_GB2312" w:hAnsi="仿宋" w:eastAsia="仿宋_GB2312"/>
          <w:color w:val="000000"/>
          <w:sz w:val="28"/>
        </w:rPr>
        <w:t>学生在校内或校外实训基地完成综合实训，实训形式可以多样化。通过综合实训，增强学生对行业企业的感性认识，提高专业技能，培养工匠精神</w:t>
      </w:r>
      <w:r>
        <w:rPr>
          <w:rFonts w:hint="eastAsia" w:ascii="仿宋_GB2312" w:hAnsi="仿宋" w:eastAsia="仿宋_GB2312"/>
          <w:color w:val="000000" w:themeColor="text1"/>
          <w:sz w:val="28"/>
        </w:rPr>
        <w:t>。中职阶段综合实训课程总学时不少于</w:t>
      </w:r>
      <w:r>
        <w:rPr>
          <w:rFonts w:hint="eastAsia" w:ascii="仿宋_GB2312" w:hAnsi="仿宋" w:eastAsia="仿宋_GB2312"/>
          <w:color w:val="000000" w:themeColor="text1"/>
          <w:sz w:val="28"/>
          <w:lang w:val="en-US" w:eastAsia="zh-CN"/>
        </w:rPr>
        <w:t>96</w:t>
      </w:r>
      <w:r>
        <w:rPr>
          <w:rFonts w:hint="eastAsia" w:ascii="仿宋_GB2312" w:hAnsi="仿宋" w:eastAsia="仿宋_GB2312"/>
          <w:color w:val="000000" w:themeColor="text1"/>
          <w:sz w:val="28"/>
        </w:rPr>
        <w:t>学时，即一至五学期累计不少于4 周(4学分)，24学时/周。</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2.高职阶段的专业职业能力教育课程学时应不少于1150学时。</w:t>
      </w:r>
    </w:p>
    <w:p>
      <w:pPr>
        <w:adjustRightInd w:val="0"/>
        <w:snapToGrid w:val="0"/>
        <w:spacing w:line="360" w:lineRule="auto"/>
        <w:ind w:firstLine="562" w:firstLineChars="200"/>
        <w:jc w:val="left"/>
        <w:rPr>
          <w:rFonts w:ascii="仿宋_GB2312" w:hAnsi="仿宋" w:eastAsia="仿宋_GB2312"/>
          <w:b/>
          <w:color w:val="000000"/>
          <w:sz w:val="28"/>
        </w:rPr>
      </w:pPr>
      <w:r>
        <w:rPr>
          <w:rFonts w:hint="eastAsia" w:ascii="仿宋_GB2312" w:hAnsi="仿宋" w:eastAsia="仿宋_GB2312"/>
          <w:b/>
          <w:color w:val="000000"/>
          <w:sz w:val="28"/>
        </w:rPr>
        <w:t>（1）专业基础课程</w:t>
      </w:r>
    </w:p>
    <w:p>
      <w:pPr>
        <w:adjustRightInd w:val="0"/>
        <w:snapToGrid w:val="0"/>
        <w:spacing w:line="360" w:lineRule="auto"/>
        <w:ind w:firstLine="560" w:firstLineChars="200"/>
        <w:jc w:val="left"/>
        <w:rPr>
          <w:rFonts w:ascii="仿宋_GB2312" w:hAnsi="仿宋" w:eastAsia="仿宋_GB2312"/>
          <w:color w:val="000000" w:themeColor="text1"/>
          <w:sz w:val="28"/>
        </w:rPr>
      </w:pPr>
      <w:r>
        <w:rPr>
          <w:rFonts w:hint="eastAsia" w:ascii="仿宋_GB2312" w:hAnsi="仿宋" w:eastAsia="仿宋_GB2312"/>
          <w:color w:val="000000"/>
          <w:sz w:val="28"/>
        </w:rPr>
        <w:t>专业基础课程应与高职培养目标相适应，主要提供职涯晋升的职业素养教育，是从事本专业中高级岗位工作必须具备的基础知识和技术技能的</w:t>
      </w:r>
      <w:r>
        <w:rPr>
          <w:rFonts w:hint="eastAsia" w:ascii="仿宋_GB2312" w:hAnsi="仿宋" w:eastAsia="仿宋_GB2312"/>
          <w:color w:val="000000" w:themeColor="text1"/>
          <w:sz w:val="28"/>
        </w:rPr>
        <w:t>教育课程。专业基础课程应包含与本专业密切相关的专业群平台课程。高职阶段专业基础课程总学时应</w:t>
      </w:r>
      <w:r>
        <w:rPr>
          <w:rFonts w:hint="default" w:ascii="仿宋_GB2312" w:hAnsi="仿宋" w:eastAsia="仿宋_GB2312"/>
          <w:color w:val="000000" w:themeColor="text1"/>
          <w:sz w:val="28"/>
          <w:lang w:eastAsia="zh-CN"/>
        </w:rPr>
        <w:t>不高于</w:t>
      </w:r>
      <w:r>
        <w:rPr>
          <w:rFonts w:hint="default" w:ascii="仿宋_GB2312" w:hAnsi="仿宋" w:eastAsia="仿宋_GB2312"/>
          <w:color w:val="000000" w:themeColor="text1"/>
          <w:sz w:val="28"/>
          <w:lang w:val="en-US" w:eastAsia="zh-CN"/>
        </w:rPr>
        <w:t>25</w:t>
      </w:r>
      <w:r>
        <w:rPr>
          <w:rFonts w:hint="eastAsia" w:ascii="仿宋_GB2312" w:hAnsi="仿宋" w:eastAsia="仿宋_GB2312"/>
          <w:color w:val="000000" w:themeColor="text1"/>
          <w:sz w:val="28"/>
          <w:lang w:val="en-US" w:eastAsia="zh-CN"/>
        </w:rPr>
        <w:t>0</w:t>
      </w:r>
      <w:r>
        <w:rPr>
          <w:rFonts w:hint="eastAsia" w:ascii="仿宋_GB2312" w:hAnsi="仿宋" w:eastAsia="仿宋_GB2312"/>
          <w:color w:val="000000" w:themeColor="text1"/>
          <w:sz w:val="28"/>
        </w:rPr>
        <w:t>学时（1</w:t>
      </w:r>
      <w:r>
        <w:rPr>
          <w:rFonts w:hint="eastAsia" w:ascii="仿宋_GB2312" w:hAnsi="仿宋" w:eastAsia="仿宋_GB2312"/>
          <w:color w:val="000000" w:themeColor="text1"/>
          <w:sz w:val="28"/>
          <w:lang w:val="en-US" w:eastAsia="zh-CN"/>
        </w:rPr>
        <w:t>3</w:t>
      </w:r>
      <w:r>
        <w:rPr>
          <w:rFonts w:hint="eastAsia" w:ascii="仿宋_GB2312" w:hAnsi="仿宋" w:eastAsia="仿宋_GB2312"/>
          <w:color w:val="000000" w:themeColor="text1"/>
          <w:sz w:val="28"/>
        </w:rPr>
        <w:t>学分）。专业基础课程应区别于中职的专业核心课程、专业（技能）方向课程。</w:t>
      </w:r>
    </w:p>
    <w:p>
      <w:pPr>
        <w:adjustRightInd w:val="0"/>
        <w:snapToGrid w:val="0"/>
        <w:spacing w:line="500" w:lineRule="exact"/>
        <w:ind w:firstLine="560" w:firstLineChars="200"/>
        <w:jc w:val="left"/>
        <w:rPr>
          <w:rFonts w:ascii="仿宋_GB2312" w:hAnsi="仿宋" w:eastAsia="仿宋_GB2312" w:cs="宋体"/>
          <w:snapToGrid w:val="0"/>
          <w:color w:val="000000" w:themeColor="text1"/>
          <w:sz w:val="28"/>
          <w:szCs w:val="28"/>
        </w:rPr>
      </w:pPr>
      <w:r>
        <w:rPr>
          <w:rFonts w:ascii="仿宋_GB2312" w:hAnsi="仿宋" w:eastAsia="仿宋_GB2312" w:cs="宋体"/>
          <w:snapToGrid w:val="0"/>
          <w:color w:val="000000" w:themeColor="text1"/>
          <w:sz w:val="28"/>
          <w:szCs w:val="28"/>
        </w:rPr>
        <w:t>②</w:t>
      </w:r>
      <w:r>
        <w:rPr>
          <w:rFonts w:hint="eastAsia" w:ascii="仿宋_GB2312" w:hAnsi="仿宋" w:eastAsia="仿宋_GB2312" w:cs="宋体"/>
          <w:snapToGrid w:val="0"/>
          <w:color w:val="000000" w:themeColor="text1"/>
          <w:sz w:val="28"/>
          <w:szCs w:val="28"/>
        </w:rPr>
        <w:t>专业应用数学纳入专业基础课，原则上工科类专业应开设该课程（不开设的由专业主任提请，经过本专业的专业</w:t>
      </w:r>
      <w:r>
        <w:rPr>
          <w:rFonts w:hint="eastAsia" w:ascii="仿宋_GB2312" w:hAnsi="仿宋" w:eastAsia="仿宋_GB2312" w:cs="宋体"/>
          <w:snapToGrid w:val="0"/>
          <w:color w:val="000000" w:themeColor="text1"/>
          <w:sz w:val="28"/>
          <w:szCs w:val="28"/>
          <w:lang w:eastAsia="zh-CN"/>
        </w:rPr>
        <w:t>建设</w:t>
      </w:r>
      <w:r>
        <w:rPr>
          <w:rFonts w:hint="eastAsia" w:ascii="仿宋_GB2312" w:hAnsi="仿宋" w:eastAsia="仿宋_GB2312" w:cs="宋体"/>
          <w:snapToGrid w:val="0"/>
          <w:color w:val="000000" w:themeColor="text1"/>
          <w:sz w:val="28"/>
          <w:szCs w:val="28"/>
        </w:rPr>
        <w:t>教学指导委员会核准）。其中，公共教育部高数教研室提供《高等数学》《经济数学》《投资理财模拟的运筹基础》《投资理财模型的运筹基础》四门高等数学课程。不在此范围的数学课程，各系可选择并组合开设不同教学内容(要求)和不同学时、学分的专业应用数学课程，由各专业所属教研室组织实施。</w:t>
      </w:r>
    </w:p>
    <w:p>
      <w:pPr>
        <w:adjustRightInd w:val="0"/>
        <w:snapToGrid w:val="0"/>
        <w:spacing w:line="360" w:lineRule="auto"/>
        <w:ind w:firstLine="560" w:firstLineChars="200"/>
        <w:jc w:val="left"/>
        <w:rPr>
          <w:rFonts w:ascii="仿宋_GB2312" w:hAnsi="仿宋" w:eastAsia="仿宋_GB2312"/>
          <w:color w:val="000000" w:themeColor="text1"/>
          <w:sz w:val="28"/>
        </w:rPr>
      </w:pPr>
      <w:r>
        <w:rPr>
          <w:rFonts w:hint="eastAsia" w:ascii="仿宋_GB2312" w:hAnsi="仿宋" w:eastAsia="仿宋_GB2312"/>
          <w:color w:val="000000"/>
          <w:sz w:val="28"/>
        </w:rPr>
        <w:t>高职阶段</w:t>
      </w:r>
      <w:r>
        <w:rPr>
          <w:rFonts w:ascii="仿宋_GB2312" w:hAnsi="仿宋" w:eastAsia="仿宋_GB2312"/>
          <w:color w:val="000000"/>
          <w:sz w:val="28"/>
        </w:rPr>
        <w:t>专业英语纳入专业基础课</w:t>
      </w:r>
      <w:r>
        <w:rPr>
          <w:rFonts w:hint="eastAsia" w:ascii="仿宋_GB2312" w:hAnsi="仿宋" w:eastAsia="仿宋_GB2312"/>
          <w:color w:val="000000"/>
          <w:sz w:val="28"/>
        </w:rPr>
        <w:t>，随着职业教育国际化的发展，原则上各专业应开设该课程（有招收外国留学生的专业必须开设；个别专业不开设的，由专业主任提出书面申请，经本专业的专业教学指导委员会核准）。各专业可根据专业性质和专业应用的不同，选择开设不同教学内容(要求)和不同学时、学分的专业英语课程。</w:t>
      </w:r>
      <w:r>
        <w:rPr>
          <w:rFonts w:ascii="仿宋_GB2312" w:hAnsi="仿宋" w:eastAsia="仿宋_GB2312"/>
          <w:color w:val="000000"/>
          <w:sz w:val="28"/>
        </w:rPr>
        <w:t>专业英语课程应安排在学生有一定的专业基础后开设，</w:t>
      </w:r>
      <w:r>
        <w:rPr>
          <w:rFonts w:ascii="仿宋_GB2312" w:hAnsi="仿宋" w:eastAsia="仿宋_GB2312"/>
          <w:color w:val="000000" w:themeColor="text1"/>
          <w:sz w:val="28"/>
        </w:rPr>
        <w:t>由各专业教研室组织实施</w:t>
      </w:r>
      <w:r>
        <w:rPr>
          <w:rFonts w:hint="eastAsia" w:ascii="仿宋_GB2312" w:hAnsi="仿宋" w:eastAsia="仿宋_GB2312"/>
          <w:color w:val="000000" w:themeColor="text1"/>
          <w:sz w:val="28"/>
        </w:rPr>
        <w:t>。</w:t>
      </w:r>
    </w:p>
    <w:p>
      <w:pPr>
        <w:adjustRightInd w:val="0"/>
        <w:snapToGrid w:val="0"/>
        <w:spacing w:line="360" w:lineRule="auto"/>
        <w:ind w:firstLine="562" w:firstLineChars="200"/>
        <w:jc w:val="left"/>
        <w:rPr>
          <w:rFonts w:ascii="仿宋_GB2312" w:hAnsi="仿宋" w:eastAsia="仿宋_GB2312"/>
          <w:b/>
          <w:color w:val="000000"/>
          <w:sz w:val="28"/>
        </w:rPr>
      </w:pPr>
      <w:r>
        <w:rPr>
          <w:rFonts w:hint="eastAsia" w:ascii="仿宋_GB2312" w:hAnsi="仿宋" w:eastAsia="仿宋_GB2312"/>
          <w:b/>
          <w:color w:val="000000"/>
          <w:sz w:val="28"/>
        </w:rPr>
        <w:t>（2）专业核心课程</w:t>
      </w:r>
    </w:p>
    <w:p>
      <w:pPr>
        <w:adjustRightInd w:val="0"/>
        <w:snapToGrid w:val="0"/>
        <w:spacing w:line="360" w:lineRule="auto"/>
        <w:ind w:firstLine="560" w:firstLineChars="200"/>
        <w:jc w:val="left"/>
        <w:rPr>
          <w:rFonts w:ascii="仿宋_GB2312" w:hAnsi="仿宋" w:eastAsia="仿宋_GB2312"/>
          <w:color w:val="000000" w:themeColor="text1"/>
          <w:sz w:val="28"/>
        </w:rPr>
      </w:pPr>
      <w:r>
        <w:rPr>
          <w:rFonts w:hint="eastAsia" w:ascii="仿宋_GB2312" w:hAnsi="仿宋" w:eastAsia="仿宋_GB2312"/>
          <w:color w:val="000000"/>
          <w:sz w:val="28"/>
        </w:rPr>
        <w:t>专业核心课程设置要与职业培养目标相适应，主要提供职业岗位工作的中高级教育，是从事本专业中高级岗位工作必须具备的知识和技术技能的教育课程。高职阶段按照相应职业岗位（群）的能力要求，确定4</w:t>
      </w:r>
      <w:r>
        <w:rPr>
          <w:rFonts w:ascii="仿宋_GB2312" w:hAnsi="仿宋" w:eastAsia="仿宋_GB2312"/>
          <w:color w:val="000000"/>
          <w:sz w:val="28"/>
        </w:rPr>
        <w:t>-</w:t>
      </w:r>
      <w:r>
        <w:rPr>
          <w:rFonts w:hint="eastAsia" w:ascii="仿宋_GB2312" w:hAnsi="仿宋" w:eastAsia="仿宋_GB2312"/>
          <w:color w:val="000000"/>
          <w:sz w:val="28"/>
        </w:rPr>
        <w:t>6门专业核心课程，专业核心课程总</w:t>
      </w:r>
      <w:r>
        <w:rPr>
          <w:rFonts w:hint="eastAsia" w:ascii="仿宋_GB2312" w:hAnsi="仿宋" w:eastAsia="仿宋_GB2312"/>
          <w:color w:val="000000" w:themeColor="text1"/>
          <w:sz w:val="28"/>
        </w:rPr>
        <w:t>学时</w:t>
      </w:r>
      <w:r>
        <w:rPr>
          <w:rFonts w:hint="eastAsia" w:ascii="仿宋_GB2312" w:hAnsi="仿宋" w:eastAsia="仿宋_GB2312"/>
          <w:color w:val="000000" w:themeColor="text1"/>
          <w:sz w:val="28"/>
          <w:lang w:eastAsia="zh-CN"/>
        </w:rPr>
        <w:t>不高于</w:t>
      </w:r>
      <w:r>
        <w:rPr>
          <w:rFonts w:hint="eastAsia" w:ascii="仿宋_GB2312" w:hAnsi="仿宋" w:eastAsia="仿宋_GB2312"/>
          <w:color w:val="000000" w:themeColor="text1"/>
          <w:sz w:val="28"/>
          <w:lang w:val="en-US" w:eastAsia="zh-CN"/>
        </w:rPr>
        <w:t>300学时</w:t>
      </w:r>
      <w:r>
        <w:rPr>
          <w:rFonts w:hint="eastAsia" w:ascii="仿宋_GB2312" w:hAnsi="仿宋" w:eastAsia="仿宋_GB2312"/>
          <w:color w:val="000000" w:themeColor="text1"/>
          <w:sz w:val="28"/>
          <w:u w:val="none"/>
        </w:rPr>
        <w:t>（1</w:t>
      </w:r>
      <w:r>
        <w:rPr>
          <w:rFonts w:hint="eastAsia" w:ascii="仿宋_GB2312" w:hAnsi="仿宋" w:eastAsia="仿宋_GB2312"/>
          <w:color w:val="000000" w:themeColor="text1"/>
          <w:sz w:val="28"/>
          <w:u w:val="none"/>
          <w:lang w:val="en-US" w:eastAsia="zh-CN"/>
        </w:rPr>
        <w:t>6</w:t>
      </w:r>
      <w:r>
        <w:rPr>
          <w:rFonts w:hint="eastAsia" w:ascii="仿宋_GB2312" w:hAnsi="仿宋" w:eastAsia="仿宋_GB2312"/>
          <w:color w:val="000000" w:themeColor="text1"/>
          <w:sz w:val="28"/>
        </w:rPr>
        <w:t>学分）。</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专业核心课程内容要紧密联系生产劳动实际和社会实践，突出应用性和实践性，注重学生职业能力和职业精神的培养。</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专业课程设置要充分体现理实一体化教学。</w:t>
      </w:r>
    </w:p>
    <w:p>
      <w:pPr>
        <w:adjustRightInd w:val="0"/>
        <w:snapToGrid w:val="0"/>
        <w:spacing w:line="360" w:lineRule="auto"/>
        <w:ind w:firstLine="562" w:firstLineChars="200"/>
        <w:jc w:val="left"/>
        <w:rPr>
          <w:rFonts w:ascii="仿宋_GB2312" w:hAnsi="仿宋" w:eastAsia="仿宋_GB2312"/>
          <w:b/>
          <w:color w:val="000000"/>
          <w:sz w:val="28"/>
        </w:rPr>
      </w:pPr>
      <w:r>
        <w:rPr>
          <w:rFonts w:hint="eastAsia" w:ascii="仿宋_GB2312" w:hAnsi="仿宋" w:eastAsia="仿宋_GB2312"/>
          <w:b/>
          <w:color w:val="000000"/>
          <w:sz w:val="28"/>
        </w:rPr>
        <w:t>（3）独立设置的专周实训课程</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独立设置的专周实训课程主要包括学期内的专周实训课程、认知实训、跟岗实习、顶岗实习（毕业实习）、毕业设计（或毕业论文、毕业实习专题报告）等实践教学环节。</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独立设置的专周实训课程是在社会实际职业岗位（或虚拟仿真）中，在教师指导下学生综合运用多项技术技能完成相应工作任务的教学活动。</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高职阶段</w:t>
      </w:r>
      <w:r>
        <w:rPr>
          <w:rFonts w:hint="eastAsia" w:ascii="仿宋_GB2312" w:hAnsi="仿宋" w:eastAsia="仿宋_GB2312"/>
          <w:color w:val="000000" w:themeColor="text1"/>
          <w:sz w:val="28"/>
          <w:u w:val="none"/>
          <w:lang w:eastAsia="zh-CN"/>
        </w:rPr>
        <w:t>岗位实习</w:t>
      </w:r>
      <w:r>
        <w:rPr>
          <w:rFonts w:hint="eastAsia" w:ascii="仿宋_GB2312" w:hAnsi="仿宋" w:eastAsia="仿宋_GB2312"/>
          <w:color w:val="000000"/>
          <w:sz w:val="28"/>
        </w:rPr>
        <w:t>应不少于</w:t>
      </w:r>
      <w:r>
        <w:rPr>
          <w:rFonts w:hint="eastAsia" w:ascii="仿宋_GB2312" w:hAnsi="仿宋" w:eastAsia="仿宋_GB2312"/>
          <w:color w:val="000000"/>
          <w:sz w:val="28"/>
          <w:lang w:val="en-US" w:eastAsia="zh-CN"/>
        </w:rPr>
        <w:t>6</w:t>
      </w:r>
      <w:r>
        <w:rPr>
          <w:rFonts w:ascii="仿宋_GB2312" w:hAnsi="仿宋" w:eastAsia="仿宋_GB2312"/>
          <w:color w:val="000000"/>
          <w:sz w:val="28"/>
        </w:rPr>
        <w:t>00</w:t>
      </w:r>
      <w:r>
        <w:rPr>
          <w:rFonts w:hint="eastAsia" w:ascii="仿宋_GB2312" w:hAnsi="仿宋" w:eastAsia="仿宋_GB2312"/>
          <w:color w:val="000000"/>
          <w:sz w:val="28"/>
        </w:rPr>
        <w:t>学时，</w:t>
      </w:r>
      <w:r>
        <w:rPr>
          <w:rFonts w:hint="eastAsia" w:ascii="仿宋_GB2312" w:hAnsi="仿宋" w:eastAsia="仿宋_GB2312"/>
          <w:color w:val="000000"/>
          <w:sz w:val="28"/>
          <w:lang w:eastAsia="zh-CN"/>
        </w:rPr>
        <w:t>第</w:t>
      </w:r>
      <w:r>
        <w:rPr>
          <w:rFonts w:hint="eastAsia" w:ascii="仿宋_GB2312" w:hAnsi="仿宋" w:eastAsia="仿宋_GB2312"/>
          <w:color w:val="000000"/>
          <w:sz w:val="28"/>
        </w:rPr>
        <w:t>九</w:t>
      </w:r>
      <w:r>
        <w:rPr>
          <w:rFonts w:hint="eastAsia" w:ascii="仿宋_GB2312" w:hAnsi="仿宋" w:eastAsia="仿宋_GB2312"/>
          <w:color w:val="000000"/>
          <w:sz w:val="28"/>
          <w:lang w:eastAsia="zh-CN"/>
        </w:rPr>
        <w:t>、十</w:t>
      </w:r>
      <w:r>
        <w:rPr>
          <w:rFonts w:hint="eastAsia" w:ascii="仿宋_GB2312" w:hAnsi="仿宋" w:eastAsia="仿宋_GB2312"/>
          <w:color w:val="000000"/>
          <w:sz w:val="28"/>
        </w:rPr>
        <w:t>学期累计不少于</w:t>
      </w:r>
      <w:r>
        <w:rPr>
          <w:rFonts w:hint="eastAsia" w:ascii="仿宋_GB2312" w:hAnsi="仿宋" w:eastAsia="仿宋_GB2312"/>
          <w:color w:val="000000"/>
          <w:sz w:val="28"/>
          <w:lang w:val="en-US" w:eastAsia="zh-CN"/>
        </w:rPr>
        <w:t>25</w:t>
      </w:r>
      <w:r>
        <w:rPr>
          <w:rFonts w:hint="eastAsia" w:ascii="仿宋_GB2312" w:hAnsi="仿宋" w:eastAsia="仿宋_GB2312"/>
          <w:color w:val="000000"/>
          <w:sz w:val="28"/>
        </w:rPr>
        <w:t>周（</w:t>
      </w:r>
      <w:r>
        <w:rPr>
          <w:rFonts w:hint="eastAsia" w:ascii="仿宋_GB2312" w:hAnsi="仿宋" w:eastAsia="仿宋_GB2312"/>
          <w:color w:val="000000"/>
          <w:sz w:val="28"/>
          <w:lang w:val="en-US" w:eastAsia="zh-CN"/>
        </w:rPr>
        <w:t>25</w:t>
      </w:r>
      <w:r>
        <w:rPr>
          <w:rFonts w:hint="eastAsia" w:ascii="仿宋_GB2312" w:hAnsi="仿宋" w:eastAsia="仿宋_GB2312"/>
          <w:color w:val="000000"/>
          <w:sz w:val="28"/>
        </w:rPr>
        <w:t>学分），</w:t>
      </w:r>
      <w:r>
        <w:rPr>
          <w:rFonts w:ascii="仿宋_GB2312" w:hAnsi="仿宋" w:eastAsia="仿宋_GB2312"/>
          <w:color w:val="000000"/>
          <w:sz w:val="28"/>
        </w:rPr>
        <w:t>24</w:t>
      </w:r>
      <w:r>
        <w:rPr>
          <w:rFonts w:hint="eastAsia" w:ascii="仿宋_GB2312" w:hAnsi="仿宋" w:eastAsia="仿宋_GB2312"/>
          <w:color w:val="000000"/>
          <w:sz w:val="28"/>
        </w:rPr>
        <w:t>学时</w:t>
      </w:r>
      <w:r>
        <w:rPr>
          <w:rFonts w:ascii="仿宋_GB2312" w:hAnsi="仿宋" w:eastAsia="仿宋_GB2312"/>
          <w:color w:val="000000"/>
          <w:sz w:val="28"/>
        </w:rPr>
        <w:t>/</w:t>
      </w:r>
      <w:r>
        <w:rPr>
          <w:rFonts w:hint="eastAsia" w:ascii="仿宋_GB2312" w:hAnsi="仿宋" w:eastAsia="仿宋_GB2312"/>
          <w:color w:val="000000"/>
          <w:sz w:val="28"/>
        </w:rPr>
        <w:t>周。</w:t>
      </w:r>
    </w:p>
    <w:p>
      <w:pPr>
        <w:widowControl/>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依托独立设置的专周实训课程开展劳动教育，实习实训中应融入劳动精神教育，增强职业认同感和劳动自豪感，提升创意物化能力，培育不断探索、精益求精、追求卓越的工匠精神和爱岗敬业的劳动态度。</w:t>
      </w:r>
    </w:p>
    <w:p>
      <w:pPr>
        <w:adjustRightInd w:val="0"/>
        <w:snapToGrid w:val="0"/>
        <w:spacing w:line="360" w:lineRule="auto"/>
        <w:ind w:firstLine="562" w:firstLineChars="200"/>
        <w:jc w:val="left"/>
        <w:rPr>
          <w:rFonts w:ascii="仿宋_GB2312" w:hAnsi="仿宋" w:eastAsia="仿宋_GB2312"/>
          <w:color w:val="000000"/>
          <w:sz w:val="28"/>
        </w:rPr>
      </w:pPr>
      <w:r>
        <w:rPr>
          <w:rFonts w:hint="eastAsia" w:ascii="仿宋_GB2312" w:hAnsi="仿宋" w:eastAsia="仿宋_GB2312"/>
          <w:b/>
          <w:color w:val="000000"/>
          <w:sz w:val="28"/>
        </w:rPr>
        <w:t>（四）专业拓展</w:t>
      </w:r>
      <w:r>
        <w:rPr>
          <w:rFonts w:ascii="仿宋_GB2312" w:hAnsi="仿宋" w:eastAsia="仿宋_GB2312"/>
          <w:b/>
          <w:color w:val="000000"/>
          <w:sz w:val="28"/>
        </w:rPr>
        <w:t>(</w:t>
      </w:r>
      <w:r>
        <w:rPr>
          <w:rFonts w:hint="eastAsia" w:ascii="仿宋_GB2312" w:hAnsi="仿宋" w:eastAsia="仿宋_GB2312"/>
          <w:b/>
          <w:color w:val="000000"/>
          <w:sz w:val="28"/>
        </w:rPr>
        <w:t>专业选修</w:t>
      </w:r>
      <w:r>
        <w:rPr>
          <w:rFonts w:ascii="仿宋_GB2312" w:hAnsi="仿宋" w:eastAsia="仿宋_GB2312"/>
          <w:b/>
          <w:color w:val="000000"/>
          <w:sz w:val="28"/>
        </w:rPr>
        <w:t>)</w:t>
      </w:r>
      <w:r>
        <w:rPr>
          <w:rFonts w:hint="eastAsia" w:ascii="仿宋_GB2312" w:hAnsi="仿宋" w:eastAsia="仿宋_GB2312"/>
          <w:b/>
          <w:color w:val="000000"/>
          <w:sz w:val="28"/>
        </w:rPr>
        <w:t>课程的开设要求</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专业拓展课程主要是学生根据自身兴趣爱好和未来职业拓展的需要，自由选择修习的同一专业大类中不同专业的专业基础、专业核心课程，即专业选修课程。</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专业拓展课程（专业选修课）设置要与本专业职业拓展的培养目标相适应，主要提供基于本专业知识技能的职业拓展岗位工作的初中级教育，是从事职业拓展岗位工作必须具备的知识和技术技能的教育课程。</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专业选修课程可以是同一专业大类中不同专业的专业基础、专业核心课程，也可以是本专业两个以上专业方向的方向课程。</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学生选修列入其他专业人才培养方案规定的专业基础、专业核心等课程，采取跟班学习的方式，按照该课程实施教学管理与考核，考核取得及格以上成绩，方可认定为该门选修课合格。</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eastAsia="仿宋_GB2312"/>
          <w:color w:val="000000"/>
          <w:sz w:val="28"/>
        </w:rPr>
        <w:t>1.中职阶段应选修不少于150学时（8学分）的专业拓展课程，未选满学时，</w:t>
      </w:r>
      <w:r>
        <w:rPr>
          <w:rFonts w:hint="eastAsia" w:ascii="仿宋_GB2312" w:hAnsi="仿宋" w:eastAsia="仿宋_GB2312"/>
          <w:color w:val="000000"/>
          <w:sz w:val="28"/>
        </w:rPr>
        <w:t>不具有毕业资格。各专业按1：2比例开设拓展课程（专业选修课）供学生选择。</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eastAsia="仿宋_GB2312"/>
          <w:color w:val="000000"/>
          <w:sz w:val="28"/>
        </w:rPr>
        <w:t>2.高职阶段不少于</w:t>
      </w:r>
      <w:r>
        <w:rPr>
          <w:rFonts w:hint="eastAsia" w:ascii="仿宋_GB2312" w:eastAsia="仿宋_GB2312"/>
          <w:color w:val="000000"/>
          <w:sz w:val="28"/>
          <w:lang w:val="en-US" w:eastAsia="zh-CN"/>
        </w:rPr>
        <w:t>105</w:t>
      </w:r>
      <w:r>
        <w:rPr>
          <w:rFonts w:hint="eastAsia" w:ascii="仿宋_GB2312" w:eastAsia="仿宋_GB2312"/>
          <w:color w:val="000000"/>
          <w:sz w:val="28"/>
        </w:rPr>
        <w:t>学时（6学分）的</w:t>
      </w:r>
      <w:r>
        <w:rPr>
          <w:rFonts w:hint="eastAsia" w:ascii="仿宋_GB2312" w:hAnsi="仿宋" w:eastAsia="仿宋_GB2312"/>
          <w:color w:val="000000"/>
          <w:sz w:val="28"/>
        </w:rPr>
        <w:t>专业拓展</w:t>
      </w:r>
      <w:r>
        <w:rPr>
          <w:rFonts w:hint="eastAsia" w:ascii="仿宋_GB2312" w:eastAsia="仿宋_GB2312"/>
          <w:color w:val="000000"/>
          <w:sz w:val="28"/>
        </w:rPr>
        <w:t>课程，未选满学时，</w:t>
      </w:r>
      <w:r>
        <w:rPr>
          <w:rFonts w:hint="eastAsia" w:ascii="仿宋_GB2312" w:hAnsi="仿宋" w:eastAsia="仿宋_GB2312"/>
          <w:color w:val="000000"/>
          <w:sz w:val="28"/>
        </w:rPr>
        <w:t>不具有毕业资格。各专业按照1:3比例设置专业拓展课程（专业选修课），供学生选择。</w:t>
      </w:r>
    </w:p>
    <w:p>
      <w:pPr>
        <w:adjustRightInd w:val="0"/>
        <w:snapToGrid w:val="0"/>
        <w:spacing w:line="360" w:lineRule="auto"/>
        <w:ind w:firstLine="562" w:firstLineChars="200"/>
        <w:jc w:val="left"/>
        <w:rPr>
          <w:rFonts w:ascii="仿宋_GB2312" w:hAnsi="仿宋" w:eastAsia="仿宋_GB2312"/>
          <w:b/>
          <w:color w:val="000000" w:themeColor="text1"/>
          <w:sz w:val="28"/>
        </w:rPr>
      </w:pPr>
      <w:r>
        <w:rPr>
          <w:rFonts w:hint="eastAsia" w:ascii="仿宋_GB2312" w:hAnsi="仿宋" w:eastAsia="仿宋_GB2312"/>
          <w:b/>
          <w:color w:val="000000"/>
          <w:sz w:val="28"/>
        </w:rPr>
        <w:t>（五）</w:t>
      </w:r>
      <w:r>
        <w:rPr>
          <w:rFonts w:hint="eastAsia" w:ascii="仿宋_GB2312" w:hAnsi="仿宋" w:eastAsia="仿宋_GB2312"/>
          <w:b/>
          <w:color w:val="000000" w:themeColor="text1"/>
          <w:sz w:val="28"/>
        </w:rPr>
        <w:t>关于职业证书</w:t>
      </w:r>
    </w:p>
    <w:p>
      <w:pPr>
        <w:adjustRightInd w:val="0"/>
        <w:snapToGrid w:val="0"/>
        <w:spacing w:line="360" w:lineRule="auto"/>
        <w:ind w:firstLine="560" w:firstLineChars="200"/>
        <w:jc w:val="left"/>
        <w:rPr>
          <w:rFonts w:ascii="仿宋_GB2312" w:hAnsi="仿宋" w:eastAsia="仿宋_GB2312"/>
          <w:color w:val="000000" w:themeColor="text1"/>
          <w:sz w:val="28"/>
        </w:rPr>
      </w:pPr>
      <w:r>
        <w:rPr>
          <w:rFonts w:ascii="仿宋_GB2312" w:hAnsi="仿宋" w:eastAsia="仿宋_GB2312"/>
          <w:color w:val="000000" w:themeColor="text1"/>
          <w:sz w:val="28"/>
        </w:rPr>
        <w:t>1.</w:t>
      </w:r>
      <w:r>
        <w:rPr>
          <w:rFonts w:hint="eastAsia" w:ascii="仿宋_GB2312" w:hAnsi="仿宋" w:eastAsia="仿宋_GB2312"/>
          <w:color w:val="000000" w:themeColor="text1"/>
          <w:sz w:val="28"/>
        </w:rPr>
        <w:t>根据教育部“推行‘双证书’制度，强化学生职业能力的培养”的要求与落实</w:t>
      </w:r>
      <w:r>
        <w:rPr>
          <w:rFonts w:ascii="仿宋_GB2312" w:hAnsi="仿宋" w:eastAsia="仿宋_GB2312"/>
          <w:color w:val="000000" w:themeColor="text1"/>
          <w:sz w:val="28"/>
        </w:rPr>
        <w:t>1+X</w:t>
      </w:r>
      <w:r>
        <w:rPr>
          <w:rFonts w:hint="eastAsia" w:ascii="仿宋_GB2312" w:hAnsi="仿宋" w:eastAsia="仿宋_GB2312"/>
          <w:color w:val="000000" w:themeColor="text1"/>
          <w:sz w:val="28"/>
        </w:rPr>
        <w:t>证书试点制度，各专业要确定与技术技能人才相适应的国家（或行业认可度高的）职业资格证书及获取等级</w:t>
      </w:r>
      <w:r>
        <w:rPr>
          <w:rFonts w:hint="eastAsia" w:ascii="仿宋_GB2312" w:hAnsi="仿宋" w:eastAsia="仿宋_GB2312"/>
          <w:color w:val="000000" w:themeColor="text1"/>
          <w:sz w:val="28"/>
          <w:szCs w:val="22"/>
        </w:rPr>
        <w:t>、职业技能等级认定、</w:t>
      </w:r>
      <w:r>
        <w:rPr>
          <w:rFonts w:hint="eastAsia" w:ascii="仿宋_GB2312" w:hAnsi="仿宋" w:eastAsia="仿宋_GB2312" w:cs="宋体"/>
          <w:snapToGrid w:val="0"/>
          <w:color w:val="000000" w:themeColor="text1"/>
          <w:sz w:val="28"/>
          <w:szCs w:val="28"/>
        </w:rPr>
        <w:t>专项职业能力证书项目</w:t>
      </w:r>
      <w:r>
        <w:rPr>
          <w:rFonts w:hint="eastAsia" w:ascii="仿宋_GB2312" w:hAnsi="仿宋" w:eastAsia="仿宋_GB2312"/>
          <w:color w:val="000000" w:themeColor="text1"/>
          <w:sz w:val="28"/>
        </w:rPr>
        <w:t>，并设置课证融合课程。</w:t>
      </w:r>
    </w:p>
    <w:p>
      <w:pPr>
        <w:adjustRightInd w:val="0"/>
        <w:snapToGrid w:val="0"/>
        <w:spacing w:line="360" w:lineRule="auto"/>
        <w:ind w:firstLine="560" w:firstLineChars="200"/>
        <w:jc w:val="left"/>
        <w:rPr>
          <w:rFonts w:ascii="仿宋_GB2312" w:hAnsi="仿宋" w:eastAsia="仿宋_GB2312"/>
          <w:color w:val="000000" w:themeColor="text1"/>
          <w:sz w:val="28"/>
        </w:rPr>
      </w:pPr>
      <w:r>
        <w:rPr>
          <w:rFonts w:ascii="仿宋_GB2312" w:hAnsi="仿宋" w:eastAsia="仿宋_GB2312"/>
          <w:color w:val="000000" w:themeColor="text1"/>
          <w:sz w:val="28"/>
        </w:rPr>
        <w:t>2.</w:t>
      </w:r>
      <w:r>
        <w:rPr>
          <w:rFonts w:hint="eastAsia" w:ascii="仿宋_GB2312" w:hAnsi="仿宋" w:eastAsia="仿宋_GB2312"/>
          <w:color w:val="000000" w:themeColor="text1"/>
          <w:sz w:val="28"/>
        </w:rPr>
        <w:t>各专业可以根据实际情况，将课证融合课程设置为专业核心课程或专业选修课程或专周实训。</w:t>
      </w:r>
    </w:p>
    <w:p>
      <w:pPr>
        <w:adjustRightInd w:val="0"/>
        <w:snapToGrid w:val="0"/>
        <w:spacing w:line="360" w:lineRule="auto"/>
        <w:ind w:firstLine="560" w:firstLineChars="200"/>
        <w:jc w:val="left"/>
        <w:rPr>
          <w:rFonts w:ascii="仿宋_GB2312" w:hAnsi="仿宋" w:eastAsia="仿宋_GB2312"/>
          <w:color w:val="000000"/>
          <w:sz w:val="28"/>
        </w:rPr>
      </w:pPr>
      <w:r>
        <w:rPr>
          <w:rFonts w:ascii="仿宋_GB2312" w:hAnsi="仿宋" w:eastAsia="仿宋_GB2312"/>
          <w:color w:val="000000" w:themeColor="text1"/>
          <w:sz w:val="28"/>
        </w:rPr>
        <w:t>3.</w:t>
      </w:r>
      <w:r>
        <w:rPr>
          <w:rFonts w:hint="eastAsia" w:ascii="仿宋_GB2312" w:hAnsi="仿宋" w:eastAsia="仿宋_GB2312"/>
          <w:color w:val="000000" w:themeColor="text1"/>
          <w:sz w:val="28"/>
        </w:rPr>
        <w:t>有能力获取职业资格证书、</w:t>
      </w:r>
      <w:r>
        <w:rPr>
          <w:rFonts w:hint="eastAsia" w:ascii="仿宋_GB2312" w:hAnsi="仿宋" w:eastAsia="仿宋_GB2312" w:cs="宋体"/>
          <w:snapToGrid w:val="0"/>
          <w:color w:val="000000" w:themeColor="text1"/>
          <w:sz w:val="28"/>
          <w:szCs w:val="28"/>
        </w:rPr>
        <w:t>职业技能证书</w:t>
      </w:r>
      <w:r>
        <w:rPr>
          <w:rFonts w:hint="eastAsia" w:ascii="仿宋_GB2312" w:hAnsi="仿宋" w:eastAsia="仿宋_GB2312"/>
          <w:color w:val="000000" w:themeColor="text1"/>
          <w:sz w:val="28"/>
        </w:rPr>
        <w:t>者，可</w:t>
      </w:r>
      <w:r>
        <w:rPr>
          <w:rFonts w:hint="eastAsia" w:ascii="仿宋_GB2312" w:hAnsi="仿宋" w:eastAsia="仿宋_GB2312"/>
          <w:color w:val="000000"/>
          <w:sz w:val="28"/>
        </w:rPr>
        <w:t>“以证代考”，课证融合课程免修免试，成绩以“优秀”等级计入课程成绩。各专业应科学安排课证融合课程的开设时间，务必使学生在毕业前有不少于两次参加社会考证的机会。</w:t>
      </w:r>
    </w:p>
    <w:p>
      <w:pPr>
        <w:adjustRightInd w:val="0"/>
        <w:snapToGrid w:val="0"/>
        <w:spacing w:line="360" w:lineRule="auto"/>
        <w:ind w:firstLine="562" w:firstLineChars="200"/>
        <w:jc w:val="left"/>
        <w:rPr>
          <w:rFonts w:ascii="黑体" w:hAnsi="黑体" w:eastAsia="黑体"/>
          <w:b/>
          <w:color w:val="000000"/>
          <w:sz w:val="28"/>
        </w:rPr>
      </w:pPr>
      <w:r>
        <w:rPr>
          <w:rFonts w:hint="eastAsia" w:ascii="黑体" w:hAnsi="黑体" w:eastAsia="黑体"/>
          <w:b/>
          <w:color w:val="000000"/>
          <w:sz w:val="28"/>
        </w:rPr>
        <w:t>六、人才培养方案的制订工作与具体实施安排</w:t>
      </w:r>
    </w:p>
    <w:p>
      <w:pPr>
        <w:adjustRightInd w:val="0"/>
        <w:snapToGrid w:val="0"/>
        <w:spacing w:line="360" w:lineRule="auto"/>
        <w:ind w:firstLine="562" w:firstLineChars="200"/>
        <w:jc w:val="left"/>
        <w:rPr>
          <w:rFonts w:ascii="仿宋_GB2312" w:hAnsi="仿宋" w:eastAsia="仿宋_GB2312"/>
          <w:color w:val="000000"/>
          <w:sz w:val="28"/>
        </w:rPr>
      </w:pPr>
      <w:r>
        <w:rPr>
          <w:rFonts w:hint="eastAsia" w:ascii="仿宋_GB2312" w:hAnsi="仿宋" w:eastAsia="仿宋_GB2312"/>
          <w:b/>
          <w:color w:val="000000"/>
          <w:sz w:val="28"/>
        </w:rPr>
        <w:t>（一）健全机构</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学校以专业与教学指导委员会为指导机构，教务处具体负责统筹专业人才培养方案制订和审定工作。学校以教学工作诊断与改进制度建设为切入点，建立健全专业人才培养方案实施情况的跟踪、评价、反馈与持续改进机制。</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二级学院应建立健全专业群建设委员会，由学院负责人具体组织实施专业人才培养方案制订和审核工作。</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各专业教学团队（含中职联办专业负责人及相关专业教师）在专业主任的带领下，融合专业建设指导委员会行业企业专家、教科研人员、一线教师和学生（毕业生）代表的意见，具体开展专业人才培养方案研制工作。各专业根据社会经济发展需求、技术技能发展趋势、教育教学改革实际等，及时调整完善，不断提高专业人才培养方案的针对性与实效性。</w:t>
      </w:r>
    </w:p>
    <w:p>
      <w:pPr>
        <w:adjustRightInd w:val="0"/>
        <w:snapToGrid w:val="0"/>
        <w:spacing w:line="360" w:lineRule="auto"/>
        <w:ind w:firstLine="562" w:firstLineChars="200"/>
        <w:jc w:val="left"/>
        <w:rPr>
          <w:rFonts w:ascii="仿宋_GB2312" w:hAnsi="仿宋" w:eastAsia="仿宋_GB2312"/>
          <w:b/>
          <w:color w:val="000000"/>
          <w:sz w:val="28"/>
        </w:rPr>
      </w:pPr>
      <w:r>
        <w:rPr>
          <w:rFonts w:hint="eastAsia" w:ascii="仿宋_GB2312" w:hAnsi="仿宋" w:eastAsia="仿宋_GB2312"/>
          <w:b/>
          <w:color w:val="000000"/>
          <w:sz w:val="28"/>
        </w:rPr>
        <w:t>（二）制订流程</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人才培养方案制订以本指导意见为依据，按照专业人才培养方案体例框架与基本要求，由各系组织专业教学团队具体实施。</w:t>
      </w:r>
    </w:p>
    <w:p>
      <w:pPr>
        <w:adjustRightInd w:val="0"/>
        <w:snapToGrid w:val="0"/>
        <w:spacing w:line="360" w:lineRule="auto"/>
        <w:ind w:firstLine="560" w:firstLineChars="200"/>
        <w:jc w:val="left"/>
        <w:rPr>
          <w:rFonts w:ascii="仿宋_GB2312" w:hAnsi="仿宋" w:eastAsia="仿宋_GB2312"/>
          <w:color w:val="000000"/>
          <w:sz w:val="28"/>
        </w:rPr>
      </w:pPr>
      <w:r>
        <w:rPr>
          <w:rFonts w:ascii="仿宋_GB2312" w:hAnsi="仿宋" w:eastAsia="仿宋_GB2312"/>
          <w:color w:val="000000"/>
          <w:sz w:val="28"/>
        </w:rPr>
        <w:t>1.</w:t>
      </w:r>
      <w:r>
        <w:rPr>
          <w:rFonts w:hint="eastAsia" w:ascii="仿宋_GB2312" w:hAnsi="仿宋" w:eastAsia="仿宋_GB2312"/>
          <w:b/>
          <w:color w:val="000000"/>
          <w:sz w:val="28"/>
        </w:rPr>
        <w:t>调研分析</w:t>
      </w:r>
      <w:r>
        <w:rPr>
          <w:rFonts w:hint="eastAsia" w:ascii="仿宋_GB2312" w:hAnsi="仿宋" w:eastAsia="仿宋_GB2312"/>
          <w:color w:val="000000"/>
          <w:sz w:val="28"/>
        </w:rPr>
        <w:t>。专业教学团队（含中职联办专业负责人及相关专业教师）以《福州职业技术学院实施专业调研精准化的指导意见》为指南，广泛深入开展相关产业发展趋势分析和区域行业企业调研，开展面向毕业生的跟踪调研和面向在校生的学情调研，形成专业人才培养调研报告，对专业面向的职业岗位（群）进行典型工作任务与职业能力分析。</w:t>
      </w:r>
    </w:p>
    <w:p>
      <w:pPr>
        <w:adjustRightInd w:val="0"/>
        <w:snapToGrid w:val="0"/>
        <w:spacing w:line="360" w:lineRule="auto"/>
        <w:ind w:firstLine="560" w:firstLineChars="200"/>
        <w:jc w:val="left"/>
        <w:rPr>
          <w:rFonts w:ascii="仿宋_GB2312" w:hAnsi="仿宋" w:eastAsia="仿宋_GB2312"/>
          <w:color w:val="000000"/>
          <w:sz w:val="28"/>
        </w:rPr>
      </w:pPr>
      <w:r>
        <w:rPr>
          <w:rFonts w:ascii="仿宋_GB2312" w:hAnsi="仿宋" w:eastAsia="仿宋_GB2312"/>
          <w:color w:val="000000"/>
          <w:sz w:val="28"/>
        </w:rPr>
        <w:t>2.</w:t>
      </w:r>
      <w:r>
        <w:rPr>
          <w:rFonts w:hint="eastAsia" w:ascii="仿宋_GB2312" w:hAnsi="仿宋" w:eastAsia="仿宋_GB2312"/>
          <w:b/>
          <w:color w:val="000000"/>
          <w:sz w:val="28"/>
        </w:rPr>
        <w:t>研究起草</w:t>
      </w:r>
      <w:r>
        <w:rPr>
          <w:rFonts w:hint="eastAsia" w:ascii="仿宋_GB2312" w:hAnsi="仿宋" w:eastAsia="仿宋_GB2312"/>
          <w:color w:val="000000"/>
          <w:sz w:val="28"/>
        </w:rPr>
        <w:t>。按照人才培养方案的指导意见和专业人才培养方案体例框架和基本要求，结合调研和分析结果，研究起草专业人才培养方案，准确定位专业人才培养目标与培养规格，合理构建课程体系、安排教学进程，明确教学内容、教学方法、教学资源、教学条件保障等要求。</w:t>
      </w:r>
    </w:p>
    <w:p>
      <w:pPr>
        <w:adjustRightInd w:val="0"/>
        <w:snapToGrid w:val="0"/>
        <w:spacing w:line="360" w:lineRule="auto"/>
        <w:ind w:firstLine="562" w:firstLineChars="200"/>
        <w:jc w:val="left"/>
        <w:rPr>
          <w:rFonts w:ascii="仿宋_GB2312" w:hAnsi="仿宋" w:eastAsia="仿宋_GB2312"/>
          <w:b/>
          <w:color w:val="000000"/>
          <w:sz w:val="28"/>
        </w:rPr>
      </w:pPr>
      <w:r>
        <w:rPr>
          <w:rFonts w:hint="eastAsia" w:ascii="仿宋_GB2312" w:hAnsi="仿宋" w:eastAsia="仿宋_GB2312"/>
          <w:b/>
          <w:color w:val="000000"/>
          <w:sz w:val="28"/>
        </w:rPr>
        <w:t>（三）论证审定</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1．建立专业、专业群建设指导委员会论证、学校专业与教学指导委员会审议、校党委会审定的人才培养方案论证审定体制。</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2、专业人才培养方案在提交专业建设指导委员会论证前，专业主任应组织专业教学团队成员进行方案格式（课程名称、学时、学分）审核。专业建设指导委员会着重就职业面向、培养目标与培养规格、课程设置、学时安排、教学进程总体安排、实施保障、毕业要求等方面的设置进行必要性和可行性的论证。</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3、论证会应有行业企业、教研机构、校内外一线教师和学生代表等人员参加。</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4、专业人才培养方案经专业建设指导委员会论证通过后，提交专业群建设指导委员会论证，着重论证专业人才培养方案的专业定位、专业特色与专业群建设战略的契合度。系（院）课程思政研究中心负责组织审核专业人才培养方案中的课程思政元素，确保课程思政融入人才培养全过程。</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5、专业人才培养方案经过学校专业与教学指导委员会审议通过后提交校党委会审定。</w:t>
      </w:r>
    </w:p>
    <w:p>
      <w:pPr>
        <w:adjustRightInd w:val="0"/>
        <w:snapToGrid w:val="0"/>
        <w:spacing w:line="360" w:lineRule="auto"/>
        <w:ind w:firstLine="562" w:firstLineChars="200"/>
        <w:jc w:val="left"/>
        <w:rPr>
          <w:rFonts w:ascii="仿宋_GB2312" w:hAnsi="仿宋" w:eastAsia="仿宋_GB2312"/>
          <w:color w:val="000000"/>
          <w:sz w:val="28"/>
        </w:rPr>
      </w:pPr>
      <w:r>
        <w:rPr>
          <w:rFonts w:hint="eastAsia" w:ascii="仿宋_GB2312" w:hAnsi="仿宋" w:eastAsia="仿宋_GB2312"/>
          <w:b/>
          <w:color w:val="000000"/>
          <w:sz w:val="28"/>
        </w:rPr>
        <w:t>（四）公布实施</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论证审定的专业人才培养方案，学校按相关程序报上级教育行政部门备案，并通过学校网站等主动向社会公开（除涉及商业机密的内容外），接受行业企业、教师、学生、家长及全社会监督。</w:t>
      </w:r>
    </w:p>
    <w:p>
      <w:pPr>
        <w:adjustRightInd w:val="0"/>
        <w:snapToGrid w:val="0"/>
        <w:spacing w:line="360" w:lineRule="auto"/>
        <w:ind w:firstLine="560" w:firstLineChars="200"/>
        <w:jc w:val="left"/>
        <w:rPr>
          <w:rFonts w:ascii="仿宋_GB2312" w:hAnsi="仿宋" w:eastAsia="仿宋_GB2312"/>
          <w:color w:val="000000"/>
          <w:sz w:val="28"/>
        </w:rPr>
      </w:pPr>
      <w:r>
        <w:rPr>
          <w:rFonts w:hint="eastAsia" w:ascii="仿宋_GB2312" w:hAnsi="仿宋" w:eastAsia="仿宋_GB2312"/>
          <w:color w:val="000000"/>
          <w:sz w:val="28"/>
        </w:rPr>
        <w:t>各专业在新生入学教育期间，必须对专业人才培养方案进行全面细致的宣传教育，使学生明确奋斗目标，提升学习积极性和对专业的认可度。</w:t>
      </w:r>
    </w:p>
    <w:p>
      <w:pPr>
        <w:adjustRightInd w:val="0"/>
        <w:snapToGrid w:val="0"/>
        <w:spacing w:line="360" w:lineRule="auto"/>
        <w:ind w:firstLine="562" w:firstLineChars="200"/>
        <w:jc w:val="left"/>
        <w:rPr>
          <w:rFonts w:ascii="仿宋_GB2312" w:hAnsi="仿宋" w:eastAsia="仿宋_GB2312"/>
          <w:b/>
          <w:color w:val="000000"/>
          <w:sz w:val="28"/>
        </w:rPr>
      </w:pPr>
      <w:r>
        <w:rPr>
          <w:rFonts w:hint="eastAsia" w:ascii="仿宋_GB2312" w:hAnsi="仿宋" w:eastAsia="仿宋_GB2312"/>
          <w:b/>
          <w:color w:val="000000"/>
          <w:sz w:val="28"/>
        </w:rPr>
        <w:t>（五）人才培养方案制订工作实施时间计划表</w:t>
      </w:r>
    </w:p>
    <w:tbl>
      <w:tblPr>
        <w:tblStyle w:val="9"/>
        <w:tblW w:w="0" w:type="auto"/>
        <w:tblInd w:w="108" w:type="dxa"/>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555"/>
        <w:gridCol w:w="1020"/>
        <w:gridCol w:w="3969"/>
        <w:gridCol w:w="875"/>
        <w:gridCol w:w="851"/>
        <w:gridCol w:w="2101"/>
      </w:tblGrid>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020"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时间</w:t>
            </w:r>
          </w:p>
        </w:tc>
        <w:tc>
          <w:tcPr>
            <w:tcW w:w="3969"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项目及要求</w:t>
            </w:r>
          </w:p>
        </w:tc>
        <w:tc>
          <w:tcPr>
            <w:tcW w:w="87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责任领导</w:t>
            </w:r>
          </w:p>
        </w:tc>
        <w:tc>
          <w:tcPr>
            <w:tcW w:w="851"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责任部门</w:t>
            </w:r>
          </w:p>
        </w:tc>
        <w:tc>
          <w:tcPr>
            <w:tcW w:w="2101"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adjustRightInd w:val="0"/>
              <w:snapToGrid w:val="0"/>
              <w:ind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参加人员</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98" w:hRule="atLeast"/>
        </w:trPr>
        <w:tc>
          <w:tcPr>
            <w:tcW w:w="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eastAsia="宋体" w:cs="宋体"/>
                <w:color w:val="000000" w:themeColor="text1"/>
                <w:sz w:val="21"/>
                <w:szCs w:val="21"/>
                <w:lang w:val="en-US" w:eastAsia="zh-CN"/>
              </w:rPr>
              <w:t>5</w:t>
            </w:r>
            <w:r>
              <w:rPr>
                <w:rFonts w:hint="eastAsia" w:ascii="宋体" w:hAnsi="宋体" w:eastAsia="宋体" w:cs="宋体"/>
                <w:color w:val="000000" w:themeColor="text1"/>
                <w:sz w:val="21"/>
                <w:szCs w:val="21"/>
              </w:rPr>
              <w:t>月</w:t>
            </w:r>
          </w:p>
        </w:tc>
        <w:tc>
          <w:tcPr>
            <w:tcW w:w="39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制订</w:t>
            </w:r>
            <w:r>
              <w:rPr>
                <w:rFonts w:hint="eastAsia" w:eastAsia="宋体" w:cs="宋体"/>
                <w:color w:val="000000" w:themeColor="text1"/>
                <w:sz w:val="21"/>
                <w:szCs w:val="21"/>
                <w:lang w:eastAsia="zh-CN"/>
              </w:rPr>
              <w:t>五年制</w:t>
            </w:r>
            <w:r>
              <w:rPr>
                <w:rFonts w:hint="eastAsia" w:ascii="宋体" w:hAnsi="宋体" w:eastAsia="宋体" w:cs="宋体"/>
                <w:color w:val="000000" w:themeColor="text1"/>
                <w:sz w:val="21"/>
                <w:szCs w:val="21"/>
              </w:rPr>
              <w:t>专业人才培养方案</w:t>
            </w:r>
          </w:p>
        </w:tc>
        <w:tc>
          <w:tcPr>
            <w:tcW w:w="87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专业主任</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各专业</w:t>
            </w:r>
          </w:p>
        </w:tc>
        <w:tc>
          <w:tcPr>
            <w:tcW w:w="210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专业主任、专业教学团队成员（含中职校联办专业负责人、专业教师）</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146" w:hRule="atLeast"/>
        </w:trPr>
        <w:tc>
          <w:tcPr>
            <w:tcW w:w="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0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5月上旬</w:t>
            </w:r>
          </w:p>
        </w:tc>
        <w:tc>
          <w:tcPr>
            <w:tcW w:w="39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以专业为单位召开专业人才培养方案论证会</w:t>
            </w:r>
          </w:p>
        </w:tc>
        <w:tc>
          <w:tcPr>
            <w:tcW w:w="87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专业主任</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各专业</w:t>
            </w:r>
          </w:p>
        </w:tc>
        <w:tc>
          <w:tcPr>
            <w:tcW w:w="210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专业主任、中职专业负责人、专业建设指导委员会成员</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74" w:hRule="atLeast"/>
        </w:trPr>
        <w:tc>
          <w:tcPr>
            <w:tcW w:w="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0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5月上旬</w:t>
            </w:r>
          </w:p>
        </w:tc>
        <w:tc>
          <w:tcPr>
            <w:tcW w:w="39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以系为单位召开专业群人才培养方案审议会</w:t>
            </w:r>
          </w:p>
        </w:tc>
        <w:tc>
          <w:tcPr>
            <w:tcW w:w="87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系领导</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各系</w:t>
            </w:r>
          </w:p>
        </w:tc>
        <w:tc>
          <w:tcPr>
            <w:tcW w:w="210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系领导、专业主任、中职专业负责人、专业群建设指导委员会成员</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146" w:hRule="atLeast"/>
        </w:trPr>
        <w:tc>
          <w:tcPr>
            <w:tcW w:w="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0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5月下旬</w:t>
            </w:r>
          </w:p>
        </w:tc>
        <w:tc>
          <w:tcPr>
            <w:tcW w:w="39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各专业根据人才培养方案，在教务信息平台录入教学计划</w:t>
            </w:r>
          </w:p>
        </w:tc>
        <w:tc>
          <w:tcPr>
            <w:tcW w:w="87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系领导</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各系</w:t>
            </w:r>
          </w:p>
        </w:tc>
        <w:tc>
          <w:tcPr>
            <w:tcW w:w="210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专业主任</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146" w:hRule="atLeast"/>
        </w:trPr>
        <w:tc>
          <w:tcPr>
            <w:tcW w:w="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0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6月上旬</w:t>
            </w:r>
          </w:p>
        </w:tc>
        <w:tc>
          <w:tcPr>
            <w:tcW w:w="39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召开学校专业与教学工作委员会，对专业人才培养方案进行审议</w:t>
            </w:r>
          </w:p>
        </w:tc>
        <w:tc>
          <w:tcPr>
            <w:tcW w:w="87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张兰英</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教务处</w:t>
            </w:r>
          </w:p>
        </w:tc>
        <w:tc>
          <w:tcPr>
            <w:tcW w:w="210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专业与教学工作委员会成员</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146" w:hRule="atLeast"/>
        </w:trPr>
        <w:tc>
          <w:tcPr>
            <w:tcW w:w="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0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6月下旬</w:t>
            </w:r>
          </w:p>
        </w:tc>
        <w:tc>
          <w:tcPr>
            <w:tcW w:w="39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召开校党委会，对专业人才培养方案进行审定</w:t>
            </w:r>
          </w:p>
        </w:tc>
        <w:tc>
          <w:tcPr>
            <w:tcW w:w="87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张兰英</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教务处</w:t>
            </w:r>
          </w:p>
        </w:tc>
        <w:tc>
          <w:tcPr>
            <w:tcW w:w="210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校党委成员、教务处</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04" w:hRule="atLeast"/>
        </w:trPr>
        <w:tc>
          <w:tcPr>
            <w:tcW w:w="555"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0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7月30日</w:t>
            </w:r>
          </w:p>
        </w:tc>
        <w:tc>
          <w:tcPr>
            <w:tcW w:w="39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审核教务信息平台中教学计划，汇编人才培养方案</w:t>
            </w:r>
          </w:p>
        </w:tc>
        <w:tc>
          <w:tcPr>
            <w:tcW w:w="87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饶绪黎</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教务处</w:t>
            </w:r>
          </w:p>
        </w:tc>
        <w:tc>
          <w:tcPr>
            <w:tcW w:w="210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相关人员</w:t>
            </w:r>
          </w:p>
        </w:tc>
      </w:tr>
    </w:tbl>
    <w:p>
      <w:pPr>
        <w:adjustRightInd w:val="0"/>
        <w:snapToGrid w:val="0"/>
        <w:spacing w:line="360" w:lineRule="auto"/>
        <w:ind w:firstLine="560" w:firstLineChars="200"/>
        <w:jc w:val="left"/>
        <w:rPr>
          <w:rFonts w:ascii="仿宋_GB2312" w:hAnsi="仿宋" w:eastAsia="仿宋_GB2312"/>
          <w:color w:val="000000"/>
          <w:sz w:val="28"/>
        </w:rPr>
      </w:pPr>
    </w:p>
    <w:p>
      <w:pPr>
        <w:widowControl/>
        <w:adjustRightInd w:val="0"/>
        <w:snapToGrid w:val="0"/>
        <w:spacing w:line="360" w:lineRule="auto"/>
        <w:ind w:firstLine="562" w:firstLineChars="200"/>
        <w:jc w:val="left"/>
        <w:rPr>
          <w:rFonts w:ascii="仿宋_GB2312" w:eastAsia="仿宋_GB2312"/>
          <w:color w:val="000000"/>
          <w:sz w:val="28"/>
        </w:rPr>
      </w:pPr>
      <w:r>
        <w:rPr>
          <w:rFonts w:hint="eastAsia" w:ascii="仿宋_GB2312" w:eastAsia="仿宋_GB2312"/>
          <w:b/>
          <w:color w:val="000000"/>
          <w:sz w:val="28"/>
        </w:rPr>
        <w:t>七、本意见由教务处负责解释。</w:t>
      </w:r>
    </w:p>
    <w:p>
      <w:pPr>
        <w:snapToGrid w:val="0"/>
        <w:ind w:firstLine="0"/>
        <w:rPr>
          <w:rFonts w:ascii="仿宋_GB2312" w:eastAsia="仿宋_GB2312"/>
          <w:color w:val="000000"/>
          <w:sz w:val="28"/>
        </w:rPr>
      </w:pPr>
    </w:p>
    <w:p>
      <w:pPr>
        <w:snapToGrid w:val="0"/>
        <w:ind w:firstLine="0"/>
        <w:rPr>
          <w:rFonts w:ascii="仿宋_GB2312" w:eastAsia="仿宋_GB2312"/>
          <w:color w:val="000000"/>
          <w:sz w:val="28"/>
        </w:rPr>
      </w:pPr>
    </w:p>
    <w:p>
      <w:pPr>
        <w:snapToGrid w:val="0"/>
        <w:ind w:firstLine="0"/>
        <w:rPr>
          <w:rFonts w:ascii="仿宋_GB2312" w:eastAsia="仿宋_GB2312"/>
          <w:color w:val="000000"/>
          <w:sz w:val="28"/>
        </w:rPr>
      </w:pPr>
    </w:p>
    <w:p>
      <w:pPr>
        <w:snapToGrid w:val="0"/>
        <w:spacing w:line="500" w:lineRule="exact"/>
        <w:ind w:firstLine="0"/>
        <w:jc w:val="left"/>
        <w:rPr>
          <w:rFonts w:ascii="仿宋_GB2312" w:hAnsi="仿宋" w:eastAsia="仿宋_GB2312"/>
          <w:color w:val="000000"/>
          <w:sz w:val="28"/>
        </w:rPr>
      </w:pPr>
      <w:r>
        <w:rPr>
          <w:rFonts w:hint="eastAsia" w:ascii="仿宋_GB2312" w:hAnsi="仿宋" w:eastAsia="仿宋_GB2312"/>
          <w:color w:val="000000"/>
          <w:sz w:val="28"/>
        </w:rPr>
        <w:t>附件1：3+2人才培养方案课程课时一览表</w:t>
      </w:r>
    </w:p>
    <w:p>
      <w:pPr>
        <w:snapToGrid w:val="0"/>
        <w:spacing w:line="500" w:lineRule="exact"/>
        <w:ind w:firstLine="0"/>
        <w:jc w:val="left"/>
        <w:rPr>
          <w:rFonts w:ascii="仿宋_GB2312" w:hAnsi="仿宋" w:eastAsia="仿宋_GB2312"/>
          <w:color w:val="000000"/>
          <w:sz w:val="28"/>
        </w:rPr>
      </w:pPr>
      <w:r>
        <w:rPr>
          <w:rFonts w:hint="eastAsia" w:ascii="仿宋_GB2312" w:hAnsi="仿宋" w:eastAsia="仿宋_GB2312"/>
          <w:color w:val="000000"/>
          <w:sz w:val="28"/>
        </w:rPr>
        <w:t>附件2：专业人才培养方案模版(五年制3+2)</w:t>
      </w:r>
    </w:p>
    <w:p>
      <w:pPr>
        <w:snapToGrid w:val="0"/>
        <w:spacing w:line="500" w:lineRule="exact"/>
        <w:ind w:firstLine="0"/>
        <w:jc w:val="left"/>
        <w:rPr>
          <w:rFonts w:ascii="仿宋_GB2312" w:hAnsi="仿宋" w:eastAsia="仿宋_GB2312"/>
          <w:color w:val="000000"/>
          <w:sz w:val="28"/>
        </w:rPr>
      </w:pPr>
      <w:r>
        <w:rPr>
          <w:rFonts w:hint="eastAsia" w:ascii="仿宋_GB2312" w:hAnsi="仿宋" w:eastAsia="仿宋_GB2312"/>
          <w:color w:val="000000"/>
          <w:sz w:val="28"/>
        </w:rPr>
        <w:t>附件3：教育部关于职业院校专业人才培养方案制订与实施工作的指导意见（教职成〔2019〕13号）</w:t>
      </w:r>
    </w:p>
    <w:p>
      <w:pPr>
        <w:snapToGrid w:val="0"/>
        <w:spacing w:line="500" w:lineRule="exact"/>
        <w:ind w:firstLine="0"/>
        <w:jc w:val="left"/>
        <w:rPr>
          <w:rFonts w:ascii="仿宋_GB2312" w:hAnsi="仿宋" w:eastAsia="仿宋_GB2312"/>
          <w:color w:val="000000"/>
          <w:sz w:val="28"/>
        </w:rPr>
      </w:pPr>
      <w:r>
        <w:rPr>
          <w:rFonts w:hint="eastAsia" w:ascii="仿宋_GB2312" w:hAnsi="仿宋" w:eastAsia="仿宋_GB2312"/>
          <w:color w:val="000000"/>
          <w:sz w:val="28"/>
        </w:rPr>
        <w:t>附件4：教育部办公厅关于印发《中等职业学校公共基础课程方案》的通知（教职成厅〔2019〕6号）</w:t>
      </w:r>
    </w:p>
    <w:p>
      <w:pPr>
        <w:snapToGrid w:val="0"/>
        <w:spacing w:line="500" w:lineRule="exact"/>
        <w:ind w:firstLine="0"/>
        <w:jc w:val="left"/>
        <w:rPr>
          <w:rFonts w:ascii="仿宋_GB2312" w:hAnsi="仿宋" w:eastAsia="仿宋_GB2312"/>
          <w:color w:val="000000"/>
          <w:sz w:val="28"/>
        </w:rPr>
      </w:pPr>
      <w:r>
        <w:rPr>
          <w:rFonts w:hint="eastAsia" w:ascii="仿宋_GB2312" w:hAnsi="仿宋" w:eastAsia="仿宋_GB2312"/>
          <w:color w:val="000000"/>
          <w:sz w:val="28"/>
        </w:rPr>
        <w:t>附件5：中等职业学校思想政治课程标准（2020年版）第三章部分节选</w:t>
      </w:r>
    </w:p>
    <w:p>
      <w:pPr>
        <w:snapToGrid w:val="0"/>
        <w:ind w:firstLine="0"/>
        <w:rPr>
          <w:rFonts w:ascii="仿宋_GB2312" w:eastAsia="仿宋_GB2312"/>
          <w:color w:val="000000"/>
          <w:sz w:val="28"/>
        </w:rPr>
      </w:pPr>
    </w:p>
    <w:p>
      <w:pPr>
        <w:snapToGrid w:val="0"/>
        <w:ind w:firstLine="0"/>
        <w:rPr>
          <w:rFonts w:ascii="仿宋_GB2312" w:eastAsia="仿宋_GB2312"/>
          <w:color w:val="000000"/>
          <w:sz w:val="28"/>
        </w:rPr>
      </w:pPr>
    </w:p>
    <w:p>
      <w:pPr>
        <w:snapToGrid w:val="0"/>
        <w:ind w:firstLine="0"/>
        <w:rPr>
          <w:rFonts w:ascii="仿宋_GB2312" w:eastAsia="仿宋_GB2312"/>
          <w:color w:val="000000"/>
          <w:sz w:val="28"/>
        </w:rPr>
      </w:pPr>
      <w:r>
        <w:rPr>
          <w:rFonts w:ascii="仿宋_GB2312" w:eastAsia="仿宋_GB2312"/>
          <w:color w:val="000000"/>
          <w:sz w:val="28"/>
        </w:rPr>
        <w:br w:type="page"/>
      </w:r>
      <w:r>
        <w:rPr>
          <w:rFonts w:hint="eastAsia" w:ascii="仿宋_GB2312" w:eastAsia="仿宋_GB2312"/>
          <w:color w:val="000000"/>
          <w:sz w:val="28"/>
        </w:rPr>
        <w:t>附件1</w:t>
      </w:r>
      <w:bookmarkStart w:id="2" w:name="_GoBack"/>
      <w:bookmarkEnd w:id="2"/>
    </w:p>
    <w:p>
      <w:pPr>
        <w:widowControl/>
        <w:ind w:firstLine="0"/>
        <w:jc w:val="left"/>
        <w:rPr>
          <w:color w:val="000000"/>
        </w:rPr>
      </w:pPr>
    </w:p>
    <w:p>
      <w:pPr>
        <w:widowControl/>
        <w:ind w:firstLine="0"/>
        <w:jc w:val="left"/>
      </w:pPr>
    </w:p>
    <w:p>
      <w:pPr>
        <w:keepNext w:val="0"/>
        <w:keepLines w:val="0"/>
        <w:widowControl/>
        <w:suppressLineNumbers w:val="0"/>
        <w:ind w:firstLine="0"/>
        <w:jc w:val="left"/>
      </w:pPr>
    </w:p>
    <w:p>
      <w:pPr>
        <w:jc w:val="left"/>
      </w:pPr>
      <w:r>
        <w:rPr>
          <w:rFonts w:ascii="宋体" w:hAnsi="宋体" w:eastAsia="宋体" w:cs="宋体"/>
          <w:kern w:val="0"/>
          <w:sz w:val="24"/>
          <w:szCs w:val="24"/>
          <w:lang w:val="en-US" w:eastAsia="zh-CN" w:bidi="ar"/>
        </w:rPr>
        <w:drawing>
          <wp:anchor distT="0" distB="0" distL="114300" distR="114300" simplePos="0" relativeHeight="251663360" behindDoc="0" locked="0" layoutInCell="1" allowOverlap="1">
            <wp:simplePos x="0" y="0"/>
            <wp:positionH relativeFrom="column">
              <wp:posOffset>13970</wp:posOffset>
            </wp:positionH>
            <wp:positionV relativeFrom="paragraph">
              <wp:posOffset>164465</wp:posOffset>
            </wp:positionV>
            <wp:extent cx="6287135" cy="3892550"/>
            <wp:effectExtent l="0" t="0" r="18415" b="1270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2"/>
                    <a:stretch>
                      <a:fillRect/>
                    </a:stretch>
                  </pic:blipFill>
                  <pic:spPr>
                    <a:xfrm>
                      <a:off x="0" y="0"/>
                      <a:ext cx="6287135" cy="3892550"/>
                    </a:xfrm>
                    <a:prstGeom prst="rect">
                      <a:avLst/>
                    </a:prstGeom>
                    <a:noFill/>
                    <a:ln w="9525">
                      <a:noFill/>
                    </a:ln>
                  </pic:spPr>
                </pic:pic>
              </a:graphicData>
            </a:graphic>
          </wp:anchor>
        </w:drawing>
      </w:r>
    </w:p>
    <w:p/>
    <w:p>
      <w:pPr>
        <w:keepNext w:val="0"/>
        <w:keepLines w:val="0"/>
        <w:widowControl/>
        <w:suppressLineNumbers w:val="0"/>
        <w:jc w:val="left"/>
        <w:rPr>
          <w:ins w:id="0" w:author="Administrator" w:date="2023-05-09T13:02:40Z"/>
        </w:rPr>
      </w:pPr>
    </w:p>
    <w:p>
      <w:pPr>
        <w:jc w:val="left"/>
      </w:pPr>
    </w:p>
    <w:p>
      <w:pPr>
        <w:keepNext w:val="0"/>
        <w:keepLines w:val="0"/>
        <w:widowControl/>
        <w:suppressLineNumbers w:val="0"/>
        <w:jc w:val="center"/>
      </w:pPr>
    </w:p>
    <w:p>
      <w:pPr>
        <w:widowControl/>
        <w:snapToGrid w:val="0"/>
        <w:spacing w:line="400" w:lineRule="exact"/>
        <w:ind w:left="482" w:firstLine="482"/>
        <w:jc w:val="left"/>
        <w:rPr>
          <w:rFonts w:ascii="仿宋_GB2312" w:eastAsia="仿宋_GB2312"/>
          <w:b/>
          <w:color w:val="000000"/>
          <w:sz w:val="24"/>
        </w:rPr>
      </w:pPr>
    </w:p>
    <w:p>
      <w:pPr>
        <w:widowControl/>
        <w:jc w:val="left"/>
        <w:rPr>
          <w:color w:val="000000"/>
        </w:rPr>
      </w:pPr>
    </w:p>
    <w:p>
      <w:pPr>
        <w:widowControl/>
        <w:jc w:val="left"/>
        <w:rPr>
          <w:color w:val="000000"/>
        </w:rPr>
      </w:pPr>
    </w:p>
    <w:p/>
    <w:p/>
    <w:p/>
    <w:p>
      <w:pPr>
        <w:keepNext w:val="0"/>
        <w:keepLines w:val="0"/>
        <w:widowControl/>
        <w:suppressLineNumbers w:val="0"/>
        <w:jc w:val="both"/>
      </w:pPr>
    </w:p>
    <w:p>
      <w:pPr>
        <w:widowControl/>
        <w:snapToGrid w:val="0"/>
        <w:ind w:firstLine="0"/>
        <w:jc w:val="left"/>
        <w:rPr>
          <w:color w:val="000000"/>
          <w:sz w:val="21"/>
        </w:rPr>
      </w:pPr>
    </w:p>
    <w:p>
      <w:pPr>
        <w:widowControl/>
        <w:snapToGrid w:val="0"/>
        <w:ind w:firstLine="0"/>
        <w:jc w:val="left"/>
        <w:rPr>
          <w:color w:val="000000"/>
          <w:sz w:val="21"/>
        </w:rPr>
      </w:pPr>
    </w:p>
    <w:p>
      <w:pPr>
        <w:widowControl/>
        <w:jc w:val="left"/>
        <w:rPr>
          <w:color w:val="000000"/>
        </w:rPr>
      </w:pPr>
    </w:p>
    <w:p>
      <w:pPr>
        <w:widowControl/>
        <w:snapToGrid w:val="0"/>
        <w:ind w:firstLine="0"/>
        <w:jc w:val="left"/>
        <w:rPr>
          <w:color w:val="000000"/>
          <w:sz w:val="21"/>
        </w:rPr>
      </w:pPr>
    </w:p>
    <w:p>
      <w:pPr>
        <w:widowControl/>
        <w:snapToGrid w:val="0"/>
        <w:spacing w:line="400" w:lineRule="exact"/>
        <w:ind w:left="482" w:firstLine="482"/>
        <w:jc w:val="left"/>
        <w:rPr>
          <w:rFonts w:ascii="仿宋_GB2312" w:eastAsia="仿宋_GB2312"/>
          <w:b/>
          <w:color w:val="000000"/>
          <w:sz w:val="24"/>
        </w:rPr>
      </w:pPr>
    </w:p>
    <w:p>
      <w:pPr>
        <w:widowControl/>
        <w:snapToGrid w:val="0"/>
        <w:spacing w:line="400" w:lineRule="exact"/>
        <w:ind w:left="482" w:firstLine="482"/>
        <w:jc w:val="left"/>
        <w:rPr>
          <w:rFonts w:ascii="仿宋_GB2312" w:eastAsia="仿宋_GB2312"/>
          <w:b/>
          <w:color w:val="000000"/>
          <w:sz w:val="24"/>
        </w:rPr>
      </w:pPr>
    </w:p>
    <w:p>
      <w:pPr>
        <w:widowControl/>
        <w:snapToGrid w:val="0"/>
        <w:spacing w:line="400" w:lineRule="exact"/>
        <w:ind w:left="482" w:firstLine="482"/>
        <w:jc w:val="left"/>
        <w:rPr>
          <w:rFonts w:ascii="仿宋_GB2312" w:eastAsia="仿宋_GB2312"/>
          <w:b/>
          <w:color w:val="000000"/>
          <w:sz w:val="24"/>
        </w:rPr>
      </w:pPr>
    </w:p>
    <w:p>
      <w:pPr>
        <w:widowControl/>
        <w:snapToGrid w:val="0"/>
        <w:spacing w:line="400" w:lineRule="exact"/>
        <w:ind w:firstLine="0"/>
        <w:jc w:val="left"/>
        <w:rPr>
          <w:rFonts w:ascii="仿宋_GB2312" w:eastAsia="仿宋_GB2312"/>
          <w:b/>
          <w:color w:val="000000"/>
          <w:sz w:val="24"/>
        </w:rPr>
      </w:pPr>
    </w:p>
    <w:p>
      <w:pPr>
        <w:widowControl/>
        <w:snapToGrid w:val="0"/>
        <w:spacing w:line="400" w:lineRule="exact"/>
        <w:ind w:firstLine="0"/>
        <w:jc w:val="left"/>
        <w:rPr>
          <w:rFonts w:ascii="仿宋_GB2312" w:eastAsia="仿宋_GB2312"/>
          <w:b/>
          <w:color w:val="000000"/>
          <w:sz w:val="24"/>
        </w:rPr>
      </w:pPr>
    </w:p>
    <w:p>
      <w:pPr>
        <w:widowControl/>
        <w:snapToGrid w:val="0"/>
        <w:spacing w:line="400" w:lineRule="exact"/>
        <w:ind w:firstLine="0"/>
        <w:jc w:val="left"/>
        <w:rPr>
          <w:rFonts w:ascii="仿宋_GB2312" w:eastAsia="仿宋_GB2312"/>
          <w:b/>
          <w:color w:val="000000"/>
          <w:sz w:val="24"/>
        </w:rPr>
      </w:pPr>
    </w:p>
    <w:p>
      <w:pPr>
        <w:snapToGrid w:val="0"/>
        <w:ind w:firstLine="0"/>
        <w:rPr>
          <w:rFonts w:ascii="仿宋_GB2312" w:eastAsia="仿宋_GB2312"/>
          <w:color w:val="000000"/>
          <w:sz w:val="28"/>
        </w:rPr>
      </w:pPr>
    </w:p>
    <w:p>
      <w:pPr>
        <w:snapToGrid w:val="0"/>
        <w:ind w:firstLine="0"/>
        <w:rPr>
          <w:rFonts w:ascii="仿宋_GB2312" w:eastAsia="仿宋_GB2312"/>
          <w:color w:val="000000"/>
          <w:sz w:val="28"/>
        </w:rPr>
      </w:pPr>
    </w:p>
    <w:p>
      <w:pPr>
        <w:snapToGrid w:val="0"/>
        <w:ind w:firstLine="0"/>
        <w:rPr>
          <w:rFonts w:ascii="仿宋_GB2312" w:eastAsia="仿宋_GB2312"/>
          <w:color w:val="000000"/>
          <w:sz w:val="28"/>
        </w:rPr>
      </w:pPr>
      <w:r>
        <w:rPr>
          <w:rFonts w:hint="eastAsia" w:ascii="仿宋_GB2312" w:eastAsia="仿宋_GB2312"/>
          <w:color w:val="000000"/>
          <w:sz w:val="28"/>
        </w:rPr>
        <w:t>附件2</w:t>
      </w:r>
    </w:p>
    <w:p>
      <w:pPr>
        <w:snapToGrid w:val="0"/>
        <w:ind w:firstLine="0"/>
        <w:jc w:val="center"/>
        <w:rPr>
          <w:rFonts w:ascii="仿宋" w:hAnsi="仿宋" w:eastAsia="仿宋"/>
          <w:color w:val="000000"/>
          <w:sz w:val="44"/>
        </w:rPr>
      </w:pPr>
    </w:p>
    <w:p>
      <w:pPr>
        <w:widowControl/>
        <w:snapToGrid w:val="0"/>
        <w:ind w:firstLine="0"/>
        <w:jc w:val="center"/>
        <w:rPr>
          <w:rFonts w:ascii="仿宋" w:hAnsi="仿宋" w:eastAsia="仿宋"/>
          <w:color w:val="000000"/>
          <w:sz w:val="44"/>
        </w:rPr>
      </w:pPr>
      <w:r>
        <w:rPr>
          <w:rFonts w:ascii="仿宋_GB2312" w:eastAsia="仿宋_GB2312"/>
          <w:color w:val="000000"/>
          <w:sz w:val="28"/>
        </w:rPr>
        <w:drawing>
          <wp:inline distT="0" distB="0" distL="114300" distR="114300">
            <wp:extent cx="5400675" cy="819150"/>
            <wp:effectExtent l="0" t="0" r="9525" b="0"/>
            <wp:docPr id="6" name="图片 1" descr="标志与红色字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标志与红色字组合"/>
                    <pic:cNvPicPr>
                      <a:picLocks noChangeAspect="1"/>
                    </pic:cNvPicPr>
                  </pic:nvPicPr>
                  <pic:blipFill>
                    <a:blip r:embed="rId13"/>
                    <a:stretch>
                      <a:fillRect/>
                    </a:stretch>
                  </pic:blipFill>
                  <pic:spPr>
                    <a:xfrm>
                      <a:off x="0" y="0"/>
                      <a:ext cx="5400675" cy="819150"/>
                    </a:xfrm>
                    <a:prstGeom prst="rect">
                      <a:avLst/>
                    </a:prstGeom>
                    <a:noFill/>
                    <a:ln>
                      <a:noFill/>
                    </a:ln>
                  </pic:spPr>
                </pic:pic>
              </a:graphicData>
            </a:graphic>
          </wp:inline>
        </w:drawing>
      </w:r>
    </w:p>
    <w:p>
      <w:pPr>
        <w:widowControl/>
        <w:snapToGrid w:val="0"/>
        <w:ind w:firstLine="0"/>
        <w:jc w:val="center"/>
        <w:rPr>
          <w:rFonts w:ascii="仿宋" w:hAnsi="仿宋" w:eastAsia="仿宋"/>
          <w:color w:val="000000"/>
          <w:sz w:val="44"/>
        </w:rPr>
      </w:pPr>
    </w:p>
    <w:p>
      <w:pPr>
        <w:widowControl/>
        <w:snapToGrid w:val="0"/>
        <w:ind w:left="992" w:leftChars="496" w:right="1132" w:rightChars="566" w:firstLine="0"/>
        <w:jc w:val="center"/>
        <w:rPr>
          <w:rFonts w:ascii="仿宋" w:hAnsi="仿宋" w:eastAsia="仿宋"/>
          <w:color w:val="000000"/>
          <w:sz w:val="44"/>
        </w:rPr>
      </w:pPr>
      <w:r>
        <w:rPr>
          <w:rFonts w:hint="eastAsia" w:ascii="仿宋" w:hAnsi="仿宋" w:eastAsia="仿宋"/>
          <w:color w:val="000000" w:themeColor="text1"/>
          <w:sz w:val="44"/>
        </w:rPr>
        <w:t>2023级五年制高职（</w:t>
      </w:r>
      <w:r>
        <w:rPr>
          <w:rFonts w:hint="eastAsia" w:ascii="仿宋" w:hAnsi="仿宋" w:eastAsia="仿宋"/>
          <w:color w:val="000000"/>
          <w:sz w:val="44"/>
        </w:rPr>
        <w:t>3+2）XXXX专业人才培养方案</w:t>
      </w:r>
    </w:p>
    <w:p>
      <w:pPr>
        <w:widowControl/>
        <w:snapToGrid w:val="0"/>
        <w:ind w:firstLine="0"/>
        <w:jc w:val="center"/>
        <w:rPr>
          <w:rFonts w:ascii="仿宋" w:hAnsi="仿宋" w:eastAsia="仿宋"/>
          <w:color w:val="000000"/>
          <w:sz w:val="28"/>
        </w:rPr>
      </w:pPr>
    </w:p>
    <w:p>
      <w:pPr>
        <w:widowControl/>
        <w:snapToGrid w:val="0"/>
        <w:ind w:firstLine="0"/>
        <w:jc w:val="center"/>
        <w:rPr>
          <w:rFonts w:ascii="仿宋" w:hAnsi="仿宋" w:eastAsia="仿宋"/>
          <w:color w:val="000000"/>
          <w:sz w:val="28"/>
        </w:rPr>
      </w:pPr>
    </w:p>
    <w:p>
      <w:pPr>
        <w:widowControl/>
        <w:snapToGrid w:val="0"/>
        <w:ind w:firstLine="0"/>
        <w:jc w:val="center"/>
        <w:rPr>
          <w:rFonts w:ascii="仿宋" w:hAnsi="仿宋" w:eastAsia="仿宋"/>
          <w:color w:val="000000"/>
          <w:sz w:val="28"/>
        </w:rPr>
      </w:pPr>
    </w:p>
    <w:p>
      <w:pPr>
        <w:widowControl/>
        <w:snapToGrid w:val="0"/>
        <w:ind w:firstLine="0"/>
        <w:jc w:val="center"/>
        <w:rPr>
          <w:rFonts w:ascii="仿宋" w:hAnsi="仿宋" w:eastAsia="仿宋"/>
          <w:color w:val="000000"/>
          <w:sz w:val="28"/>
        </w:rPr>
      </w:pPr>
      <w:r>
        <w:rPr>
          <w:rFonts w:hint="eastAsia" w:ascii="仿宋" w:hAnsi="仿宋" w:eastAsia="仿宋"/>
          <w:color w:val="000000"/>
          <w:sz w:val="28"/>
        </w:rPr>
        <w:t>专业代码</w:t>
      </w:r>
      <w:r>
        <w:rPr>
          <w:rFonts w:ascii="仿宋" w:hAnsi="仿宋" w:eastAsia="仿宋"/>
          <w:color w:val="000000"/>
          <w:sz w:val="28"/>
        </w:rPr>
        <w:t>:XXXXXXXX</w:t>
      </w:r>
    </w:p>
    <w:p>
      <w:pPr>
        <w:widowControl/>
        <w:snapToGrid w:val="0"/>
        <w:ind w:firstLine="0"/>
        <w:rPr>
          <w:rFonts w:ascii="仿宋" w:hAnsi="仿宋" w:eastAsia="仿宋"/>
          <w:b/>
          <w:color w:val="000000"/>
          <w:spacing w:val="54"/>
          <w:sz w:val="32"/>
        </w:rPr>
      </w:pPr>
    </w:p>
    <w:p>
      <w:pPr>
        <w:widowControl/>
        <w:snapToGrid w:val="0"/>
        <w:ind w:firstLine="0"/>
        <w:jc w:val="center"/>
        <w:rPr>
          <w:rFonts w:ascii="仿宋" w:hAnsi="仿宋" w:eastAsia="仿宋"/>
          <w:color w:val="000000"/>
          <w:sz w:val="28"/>
        </w:rPr>
      </w:pPr>
      <w:r>
        <w:rPr>
          <w:rFonts w:hint="eastAsia" w:ascii="仿宋" w:hAnsi="仿宋" w:eastAsia="仿宋"/>
          <w:color w:val="000000"/>
          <w:sz w:val="28"/>
        </w:rPr>
        <w:t>中职专业：</w:t>
      </w:r>
      <w:r>
        <w:rPr>
          <w:rFonts w:ascii="仿宋" w:hAnsi="仿宋" w:eastAsia="仿宋"/>
          <w:color w:val="000000"/>
          <w:sz w:val="28"/>
        </w:rPr>
        <w:t>XXXXXXXX</w:t>
      </w:r>
      <w:r>
        <w:rPr>
          <w:rFonts w:hint="eastAsia" w:ascii="仿宋" w:hAnsi="仿宋" w:eastAsia="仿宋"/>
          <w:color w:val="000000"/>
          <w:sz w:val="28"/>
        </w:rPr>
        <w:t xml:space="preserve"> (专业代码</w:t>
      </w:r>
      <w:r>
        <w:rPr>
          <w:rFonts w:ascii="仿宋" w:hAnsi="仿宋" w:eastAsia="仿宋"/>
          <w:color w:val="000000"/>
          <w:sz w:val="28"/>
        </w:rPr>
        <w:t>:XXXXXXXX</w:t>
      </w:r>
      <w:r>
        <w:rPr>
          <w:rFonts w:hint="eastAsia" w:ascii="仿宋" w:hAnsi="仿宋" w:eastAsia="仿宋"/>
          <w:color w:val="000000"/>
          <w:sz w:val="28"/>
        </w:rPr>
        <w:t>)</w:t>
      </w:r>
    </w:p>
    <w:p>
      <w:pPr>
        <w:widowControl/>
        <w:snapToGrid w:val="0"/>
        <w:ind w:firstLine="0"/>
        <w:rPr>
          <w:rFonts w:ascii="仿宋" w:hAnsi="仿宋" w:eastAsia="仿宋"/>
          <w:color w:val="000000"/>
          <w:sz w:val="28"/>
        </w:rPr>
      </w:pPr>
    </w:p>
    <w:p>
      <w:pPr>
        <w:widowControl/>
        <w:snapToGrid w:val="0"/>
        <w:ind w:firstLine="0"/>
        <w:jc w:val="center"/>
        <w:rPr>
          <w:rFonts w:ascii="仿宋" w:hAnsi="仿宋" w:eastAsia="仿宋"/>
          <w:b/>
          <w:color w:val="000000"/>
          <w:spacing w:val="54"/>
          <w:sz w:val="32"/>
        </w:rPr>
      </w:pPr>
    </w:p>
    <w:p>
      <w:pPr>
        <w:snapToGrid w:val="0"/>
        <w:spacing w:line="480" w:lineRule="auto"/>
        <w:ind w:left="1701" w:firstLine="0"/>
        <w:rPr>
          <w:rFonts w:ascii="仿宋" w:hAnsi="仿宋" w:eastAsia="仿宋"/>
          <w:b/>
          <w:color w:val="000000"/>
          <w:spacing w:val="54"/>
          <w:sz w:val="32"/>
        </w:rPr>
      </w:pPr>
      <w:r>
        <w:rPr>
          <w:rFonts w:hint="eastAsia" w:ascii="仿宋" w:hAnsi="仿宋" w:eastAsia="仿宋"/>
          <w:b/>
          <w:color w:val="000000"/>
          <w:spacing w:val="54"/>
          <w:sz w:val="32"/>
        </w:rPr>
        <w:t>专业主任：</w:t>
      </w:r>
    </w:p>
    <w:p>
      <w:pPr>
        <w:snapToGrid w:val="0"/>
        <w:spacing w:line="480" w:lineRule="auto"/>
        <w:ind w:left="1701" w:firstLine="0"/>
        <w:rPr>
          <w:rFonts w:ascii="仿宋" w:hAnsi="仿宋" w:eastAsia="仿宋"/>
          <w:b/>
          <w:color w:val="000000"/>
          <w:spacing w:val="54"/>
          <w:sz w:val="32"/>
        </w:rPr>
      </w:pPr>
      <w:r>
        <w:rPr>
          <w:rFonts w:hint="eastAsia" w:ascii="仿宋" w:hAnsi="仿宋" w:eastAsia="仿宋"/>
          <w:b/>
          <w:color w:val="000000"/>
          <w:spacing w:val="54"/>
          <w:sz w:val="32"/>
        </w:rPr>
        <w:t>制订成员：</w:t>
      </w:r>
    </w:p>
    <w:p>
      <w:pPr>
        <w:snapToGrid w:val="0"/>
        <w:ind w:firstLine="3534" w:firstLineChars="1100"/>
        <w:rPr>
          <w:rFonts w:ascii="仿宋" w:hAnsi="仿宋" w:eastAsia="仿宋"/>
          <w:b/>
          <w:color w:val="000000"/>
          <w:sz w:val="32"/>
        </w:rPr>
      </w:pPr>
    </w:p>
    <w:p>
      <w:pPr>
        <w:snapToGrid w:val="0"/>
        <w:ind w:firstLine="3534" w:firstLineChars="1100"/>
        <w:rPr>
          <w:rFonts w:ascii="仿宋" w:hAnsi="仿宋" w:eastAsia="仿宋"/>
          <w:b/>
          <w:color w:val="000000"/>
          <w:sz w:val="32"/>
        </w:rPr>
      </w:pPr>
    </w:p>
    <w:p>
      <w:pPr>
        <w:snapToGrid w:val="0"/>
        <w:ind w:firstLine="3534" w:firstLineChars="1100"/>
        <w:rPr>
          <w:rFonts w:ascii="仿宋" w:hAnsi="仿宋" w:eastAsia="仿宋"/>
          <w:b/>
          <w:color w:val="000000"/>
          <w:sz w:val="32"/>
        </w:rPr>
      </w:pPr>
    </w:p>
    <w:p>
      <w:pPr>
        <w:snapToGrid w:val="0"/>
        <w:ind w:firstLine="3534" w:firstLineChars="1100"/>
        <w:rPr>
          <w:rFonts w:ascii="仿宋" w:hAnsi="仿宋" w:eastAsia="仿宋"/>
          <w:b/>
          <w:color w:val="000000"/>
          <w:sz w:val="32"/>
        </w:rPr>
      </w:pPr>
    </w:p>
    <w:p>
      <w:pPr>
        <w:snapToGrid w:val="0"/>
        <w:ind w:firstLine="3213" w:firstLineChars="1000"/>
        <w:rPr>
          <w:rFonts w:ascii="仿宋" w:hAnsi="仿宋" w:eastAsia="仿宋"/>
          <w:b/>
          <w:color w:val="000000" w:themeColor="text1"/>
          <w:sz w:val="32"/>
        </w:rPr>
      </w:pPr>
      <w:r>
        <w:rPr>
          <w:rFonts w:hint="eastAsia" w:ascii="仿宋" w:hAnsi="仿宋" w:eastAsia="仿宋"/>
          <w:b/>
          <w:color w:val="000000" w:themeColor="text1"/>
          <w:sz w:val="32"/>
        </w:rPr>
        <w:t>二〇二三年</w:t>
      </w:r>
      <w:r>
        <w:rPr>
          <w:rFonts w:hint="eastAsia" w:ascii="仿宋" w:hAnsi="仿宋" w:eastAsia="仿宋"/>
          <w:b/>
          <w:color w:val="000000" w:themeColor="text1"/>
          <w:sz w:val="32"/>
          <w:lang w:eastAsia="zh-CN"/>
        </w:rPr>
        <w:t>五</w:t>
      </w:r>
      <w:r>
        <w:rPr>
          <w:rFonts w:hint="eastAsia" w:ascii="仿宋" w:hAnsi="仿宋" w:eastAsia="仿宋"/>
          <w:b/>
          <w:color w:val="000000" w:themeColor="text1"/>
          <w:sz w:val="32"/>
        </w:rPr>
        <w:t>月制</w:t>
      </w:r>
    </w:p>
    <w:p>
      <w:pPr>
        <w:snapToGrid w:val="0"/>
        <w:ind w:left="3213" w:firstLine="3213"/>
        <w:rPr>
          <w:color w:val="000000" w:themeColor="text1"/>
        </w:rPr>
        <w:sectPr>
          <w:footerReference r:id="rId4" w:type="default"/>
          <w:pgSz w:w="11906" w:h="16838"/>
          <w:pgMar w:top="1418" w:right="1418" w:bottom="1418" w:left="1418" w:header="851" w:footer="992" w:gutter="0"/>
          <w:pgBorders>
            <w:top w:val="none" w:sz="0" w:space="0"/>
            <w:left w:val="none" w:sz="0" w:space="0"/>
            <w:bottom w:val="none" w:sz="0" w:space="0"/>
            <w:right w:val="none" w:sz="0" w:space="0"/>
          </w:pgBorders>
          <w:pgNumType w:start="1"/>
          <w:cols w:space="720" w:num="1"/>
          <w:docGrid w:linePitch="312" w:charSpace="0"/>
        </w:sectPr>
      </w:pPr>
    </w:p>
    <w:p>
      <w:pPr>
        <w:snapToGrid w:val="0"/>
        <w:ind w:firstLine="0"/>
        <w:jc w:val="center"/>
        <w:rPr>
          <w:rFonts w:ascii="仿宋" w:hAnsi="仿宋" w:eastAsia="仿宋"/>
          <w:color w:val="000000"/>
          <w:sz w:val="32"/>
        </w:rPr>
      </w:pPr>
      <w:r>
        <w:rPr>
          <w:rFonts w:hint="eastAsia" w:ascii="仿宋" w:hAnsi="仿宋" w:eastAsia="仿宋"/>
          <w:color w:val="000000"/>
          <w:sz w:val="32"/>
        </w:rPr>
        <w:t>编写说明</w:t>
      </w:r>
    </w:p>
    <w:p>
      <w:pPr>
        <w:widowControl/>
        <w:snapToGrid w:val="0"/>
        <w:ind w:firstLine="0"/>
        <w:rPr>
          <w:rFonts w:ascii="仿宋" w:hAnsi="仿宋" w:eastAsia="仿宋"/>
          <w:color w:val="000000"/>
          <w:sz w:val="24"/>
        </w:rPr>
      </w:pPr>
      <w:r>
        <w:rPr>
          <w:rFonts w:hint="eastAsia" w:ascii="仿宋" w:hAnsi="仿宋" w:eastAsia="仿宋"/>
          <w:color w:val="000000"/>
          <w:sz w:val="24"/>
        </w:rPr>
        <w:t>格式要求：</w:t>
      </w:r>
    </w:p>
    <w:p>
      <w:pPr>
        <w:widowControl/>
        <w:snapToGrid w:val="0"/>
        <w:ind w:left="480" w:firstLine="48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．“页面设置”：</w:t>
      </w:r>
    </w:p>
    <w:p>
      <w:pPr>
        <w:widowControl/>
        <w:snapToGrid w:val="0"/>
        <w:ind w:left="480" w:firstLine="480"/>
        <w:rPr>
          <w:rFonts w:ascii="仿宋" w:hAnsi="仿宋" w:eastAsia="仿宋"/>
          <w:color w:val="000000"/>
          <w:sz w:val="24"/>
        </w:rPr>
      </w:pPr>
      <w:r>
        <w:rPr>
          <w:rFonts w:hint="eastAsia" w:ascii="仿宋" w:hAnsi="仿宋" w:eastAsia="仿宋"/>
          <w:color w:val="000000"/>
          <w:sz w:val="24"/>
        </w:rPr>
        <w:t>纸型为</w:t>
      </w:r>
      <w:r>
        <w:rPr>
          <w:rFonts w:ascii="仿宋" w:hAnsi="仿宋" w:eastAsia="仿宋"/>
          <w:color w:val="000000"/>
          <w:sz w:val="24"/>
        </w:rPr>
        <w:t>A4</w:t>
      </w:r>
      <w:r>
        <w:rPr>
          <w:rFonts w:hint="eastAsia" w:ascii="仿宋" w:hAnsi="仿宋" w:eastAsia="仿宋"/>
          <w:color w:val="000000"/>
          <w:sz w:val="24"/>
        </w:rPr>
        <w:t>；页边距为上</w:t>
      </w:r>
      <w:r>
        <w:rPr>
          <w:rFonts w:ascii="仿宋" w:hAnsi="仿宋" w:eastAsia="仿宋"/>
          <w:color w:val="000000"/>
          <w:sz w:val="24"/>
        </w:rPr>
        <w:t>2.5cm</w:t>
      </w:r>
      <w:r>
        <w:rPr>
          <w:rFonts w:hint="eastAsia" w:ascii="仿宋" w:hAnsi="仿宋" w:eastAsia="仿宋"/>
          <w:color w:val="000000"/>
          <w:sz w:val="24"/>
        </w:rPr>
        <w:t>，下</w:t>
      </w:r>
      <w:r>
        <w:rPr>
          <w:rFonts w:ascii="仿宋" w:hAnsi="仿宋" w:eastAsia="仿宋"/>
          <w:color w:val="000000"/>
          <w:sz w:val="24"/>
        </w:rPr>
        <w:t>2.5cm</w:t>
      </w:r>
      <w:r>
        <w:rPr>
          <w:rFonts w:hint="eastAsia" w:ascii="仿宋" w:hAnsi="仿宋" w:eastAsia="仿宋"/>
          <w:color w:val="000000"/>
          <w:sz w:val="24"/>
        </w:rPr>
        <w:t>，左</w:t>
      </w:r>
      <w:r>
        <w:rPr>
          <w:rFonts w:ascii="仿宋" w:hAnsi="仿宋" w:eastAsia="仿宋"/>
          <w:color w:val="000000"/>
          <w:sz w:val="24"/>
        </w:rPr>
        <w:t>2.5cm</w:t>
      </w:r>
      <w:r>
        <w:rPr>
          <w:rFonts w:hint="eastAsia" w:ascii="仿宋" w:hAnsi="仿宋" w:eastAsia="仿宋"/>
          <w:color w:val="000000"/>
          <w:sz w:val="24"/>
        </w:rPr>
        <w:t>，右</w:t>
      </w:r>
      <w:r>
        <w:rPr>
          <w:rFonts w:ascii="仿宋" w:hAnsi="仿宋" w:eastAsia="仿宋"/>
          <w:color w:val="000000"/>
          <w:sz w:val="24"/>
        </w:rPr>
        <w:t>2.5cm</w:t>
      </w:r>
      <w:r>
        <w:rPr>
          <w:rFonts w:hint="eastAsia" w:ascii="仿宋" w:hAnsi="仿宋" w:eastAsia="仿宋"/>
          <w:color w:val="000000"/>
          <w:sz w:val="24"/>
        </w:rPr>
        <w:t>。</w:t>
      </w:r>
    </w:p>
    <w:p>
      <w:pPr>
        <w:widowControl/>
        <w:snapToGrid w:val="0"/>
        <w:ind w:left="480" w:firstLine="48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．全文行间距设为１．２５倍，表格内行间距设为１倍。段前段后间距均设为</w:t>
      </w:r>
      <w:r>
        <w:rPr>
          <w:rFonts w:ascii="仿宋" w:hAnsi="仿宋" w:eastAsia="仿宋"/>
          <w:color w:val="000000"/>
          <w:sz w:val="24"/>
        </w:rPr>
        <w:t>0</w:t>
      </w:r>
      <w:r>
        <w:rPr>
          <w:rFonts w:hint="eastAsia" w:ascii="仿宋" w:hAnsi="仿宋" w:eastAsia="仿宋"/>
          <w:color w:val="000000"/>
          <w:sz w:val="24"/>
        </w:rPr>
        <w:t>。</w:t>
      </w:r>
    </w:p>
    <w:p>
      <w:pPr>
        <w:widowControl/>
        <w:snapToGrid w:val="0"/>
        <w:ind w:left="480" w:firstLine="48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．一级标题为</w:t>
      </w:r>
      <w:r>
        <w:rPr>
          <w:rFonts w:hint="eastAsia" w:ascii="仿宋" w:hAnsi="仿宋" w:eastAsia="仿宋"/>
          <w:color w:val="000000"/>
          <w:sz w:val="24"/>
          <w:lang w:eastAsia="zh-CN"/>
        </w:rPr>
        <w:t>仿宋</w:t>
      </w:r>
      <w:r>
        <w:rPr>
          <w:rFonts w:ascii="仿宋" w:hAnsi="仿宋" w:eastAsia="仿宋"/>
          <w:color w:val="000000"/>
          <w:sz w:val="24"/>
        </w:rPr>
        <w:t>4</w:t>
      </w:r>
      <w:r>
        <w:rPr>
          <w:rFonts w:hint="eastAsia" w:ascii="仿宋" w:hAnsi="仿宋" w:eastAsia="仿宋"/>
          <w:color w:val="000000"/>
          <w:sz w:val="24"/>
        </w:rPr>
        <w:t>号字；</w:t>
      </w:r>
    </w:p>
    <w:p>
      <w:pPr>
        <w:widowControl/>
        <w:snapToGrid w:val="0"/>
        <w:ind w:left="840" w:firstLine="840"/>
        <w:rPr>
          <w:rFonts w:ascii="仿宋" w:hAnsi="仿宋" w:eastAsia="仿宋"/>
          <w:color w:val="000000"/>
          <w:sz w:val="24"/>
        </w:rPr>
      </w:pPr>
      <w:r>
        <w:rPr>
          <w:rFonts w:hint="eastAsia" w:ascii="仿宋" w:hAnsi="仿宋" w:eastAsia="仿宋"/>
          <w:color w:val="000000"/>
          <w:sz w:val="24"/>
        </w:rPr>
        <w:t>二、三级标题及正文的字体及字号均为仿宋小</w:t>
      </w:r>
      <w:r>
        <w:rPr>
          <w:rFonts w:ascii="仿宋" w:hAnsi="仿宋" w:eastAsia="仿宋"/>
          <w:color w:val="000000"/>
          <w:sz w:val="24"/>
        </w:rPr>
        <w:t>4</w:t>
      </w:r>
      <w:r>
        <w:rPr>
          <w:rFonts w:hint="eastAsia" w:ascii="仿宋" w:hAnsi="仿宋" w:eastAsia="仿宋"/>
          <w:color w:val="000000"/>
          <w:sz w:val="24"/>
        </w:rPr>
        <w:t>号字；</w:t>
      </w:r>
    </w:p>
    <w:p>
      <w:pPr>
        <w:widowControl/>
        <w:snapToGrid w:val="0"/>
        <w:ind w:left="840" w:firstLine="840"/>
        <w:rPr>
          <w:rFonts w:ascii="仿宋" w:hAnsi="仿宋" w:eastAsia="仿宋"/>
          <w:color w:val="000000"/>
          <w:sz w:val="24"/>
        </w:rPr>
      </w:pPr>
      <w:r>
        <w:rPr>
          <w:rFonts w:hint="eastAsia" w:ascii="仿宋" w:hAnsi="仿宋" w:eastAsia="仿宋"/>
          <w:color w:val="000000"/>
          <w:sz w:val="24"/>
        </w:rPr>
        <w:t>表格内的字体及字号均为宋体</w:t>
      </w:r>
      <w:r>
        <w:rPr>
          <w:rFonts w:ascii="仿宋" w:hAnsi="仿宋" w:eastAsia="仿宋"/>
          <w:color w:val="000000"/>
          <w:sz w:val="24"/>
        </w:rPr>
        <w:t>5</w:t>
      </w:r>
      <w:r>
        <w:rPr>
          <w:rFonts w:hint="eastAsia" w:ascii="仿宋" w:hAnsi="仿宋" w:eastAsia="仿宋"/>
          <w:color w:val="000000"/>
          <w:sz w:val="24"/>
        </w:rPr>
        <w:t>号字。</w:t>
      </w:r>
    </w:p>
    <w:p>
      <w:pPr>
        <w:widowControl/>
        <w:snapToGrid w:val="0"/>
        <w:ind w:left="480" w:firstLine="480"/>
        <w:rPr>
          <w:rFonts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．标点符号要在半角状态下录入。</w:t>
      </w:r>
    </w:p>
    <w:p>
      <w:pPr>
        <w:snapToGrid w:val="0"/>
        <w:ind w:left="420" w:firstLine="420"/>
        <w:rPr>
          <w:rFonts w:ascii="仿宋" w:hAnsi="仿宋" w:eastAsia="仿宋"/>
          <w:color w:val="000000"/>
          <w:sz w:val="24"/>
        </w:rPr>
      </w:pPr>
    </w:p>
    <w:p>
      <w:pPr>
        <w:snapToGrid w:val="0"/>
        <w:ind w:right="15" w:firstLine="0"/>
        <w:rPr>
          <w:rFonts w:ascii="仿宋" w:hAnsi="仿宋" w:eastAsia="仿宋"/>
          <w:color w:val="000000"/>
          <w:sz w:val="30"/>
        </w:rPr>
      </w:pPr>
      <w:r>
        <w:rPr>
          <w:rFonts w:hint="eastAsia" w:ascii="仿宋" w:hAnsi="仿宋" w:eastAsia="仿宋"/>
          <w:color w:val="000000"/>
          <w:sz w:val="30"/>
        </w:rPr>
        <w:t>特别提醒：</w:t>
      </w:r>
    </w:p>
    <w:p>
      <w:pPr>
        <w:snapToGrid w:val="0"/>
        <w:ind w:right="15" w:firstLine="0"/>
        <w:rPr>
          <w:rFonts w:ascii="仿宋" w:hAnsi="仿宋" w:eastAsia="仿宋"/>
          <w:color w:val="000000"/>
          <w:sz w:val="30"/>
        </w:rPr>
      </w:pPr>
      <w:r>
        <w:rPr>
          <w:rFonts w:ascii="仿宋" w:hAnsi="仿宋" w:eastAsia="仿宋"/>
          <w:color w:val="000000"/>
          <w:sz w:val="30"/>
        </w:rPr>
        <w:t>*</w:t>
      </w:r>
      <w:r>
        <w:rPr>
          <w:rFonts w:hint="eastAsia" w:ascii="仿宋" w:hAnsi="仿宋" w:eastAsia="仿宋"/>
          <w:color w:val="000000"/>
          <w:sz w:val="30"/>
        </w:rPr>
        <w:t>在编制过程中遇到【或“……□□□□□□……”】处，要根据实际情况进行选择，并删除与本人才培养方案特性无关的内容。</w:t>
      </w:r>
    </w:p>
    <w:p>
      <w:pPr>
        <w:snapToGrid w:val="0"/>
        <w:ind w:right="15" w:firstLine="0"/>
        <w:rPr>
          <w:rFonts w:ascii="仿宋" w:hAnsi="仿宋" w:eastAsia="仿宋"/>
          <w:color w:val="000000"/>
          <w:sz w:val="30"/>
        </w:rPr>
      </w:pPr>
      <w:r>
        <w:rPr>
          <w:rFonts w:ascii="仿宋" w:hAnsi="仿宋" w:eastAsia="仿宋"/>
          <w:color w:val="000000"/>
          <w:sz w:val="30"/>
        </w:rPr>
        <w:t>*</w:t>
      </w:r>
      <w:r>
        <w:rPr>
          <w:rFonts w:hint="eastAsia" w:ascii="仿宋" w:hAnsi="仿宋" w:eastAsia="仿宋"/>
          <w:color w:val="000000"/>
          <w:sz w:val="30"/>
        </w:rPr>
        <w:t>编制工作完成后，请将红色的和突出显示的文字全部去除！！！</w:t>
      </w:r>
    </w:p>
    <w:p>
      <w:pPr>
        <w:snapToGrid w:val="0"/>
        <w:ind w:right="15" w:firstLine="0"/>
        <w:rPr>
          <w:rFonts w:ascii="仿宋" w:hAnsi="仿宋" w:eastAsia="仿宋"/>
          <w:b/>
          <w:color w:val="000000"/>
          <w:sz w:val="32"/>
        </w:rPr>
      </w:pPr>
    </w:p>
    <w:p>
      <w:pPr>
        <w:snapToGrid w:val="0"/>
        <w:ind w:right="15" w:firstLine="0"/>
        <w:rPr>
          <w:color w:val="000000"/>
        </w:r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p>
      <w:pPr>
        <w:snapToGrid w:val="0"/>
        <w:ind w:firstLine="0"/>
        <w:jc w:val="center"/>
        <w:rPr>
          <w:rFonts w:ascii="仿宋" w:hAnsi="仿宋" w:eastAsia="仿宋"/>
          <w:b/>
          <w:color w:val="000000"/>
          <w:sz w:val="32"/>
        </w:rPr>
      </w:pPr>
      <w:r>
        <w:rPr>
          <w:rFonts w:hint="eastAsia" w:ascii="仿宋" w:hAnsi="仿宋" w:eastAsia="仿宋"/>
          <w:b/>
          <w:color w:val="000000"/>
          <w:sz w:val="32"/>
        </w:rPr>
        <w:t>目录</w:t>
      </w:r>
    </w:p>
    <w:p>
      <w:pPr>
        <w:tabs>
          <w:tab w:val="center" w:leader="dot" w:pos="9060"/>
        </w:tabs>
        <w:snapToGrid w:val="0"/>
        <w:spacing w:line="300" w:lineRule="auto"/>
        <w:ind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一、入学要求与修业年限</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22</w:t>
      </w:r>
    </w:p>
    <w:p>
      <w:pPr>
        <w:tabs>
          <w:tab w:val="center" w:leader="dot" w:pos="9060"/>
        </w:tabs>
        <w:snapToGrid w:val="0"/>
        <w:spacing w:line="300" w:lineRule="auto"/>
        <w:ind w:left="420"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㈠入学要求：</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22</w:t>
      </w:r>
    </w:p>
    <w:p>
      <w:pPr>
        <w:tabs>
          <w:tab w:val="center" w:leader="dot" w:pos="9060"/>
        </w:tabs>
        <w:snapToGrid w:val="0"/>
        <w:spacing w:line="300" w:lineRule="auto"/>
        <w:ind w:left="420"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㈡修业年限：</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22</w:t>
      </w:r>
    </w:p>
    <w:p>
      <w:pPr>
        <w:tabs>
          <w:tab w:val="center" w:leader="dot" w:pos="9060"/>
        </w:tabs>
        <w:snapToGrid w:val="0"/>
        <w:spacing w:line="300" w:lineRule="auto"/>
        <w:ind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二、职业面向</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22</w:t>
      </w:r>
    </w:p>
    <w:p>
      <w:pPr>
        <w:tabs>
          <w:tab w:val="center" w:leader="dot" w:pos="9060"/>
        </w:tabs>
        <w:snapToGrid w:val="0"/>
        <w:spacing w:line="300" w:lineRule="auto"/>
        <w:ind w:left="420"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㈠职业岗位</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22</w:t>
      </w:r>
    </w:p>
    <w:p>
      <w:pPr>
        <w:tabs>
          <w:tab w:val="center" w:leader="dot" w:pos="9060"/>
        </w:tabs>
        <w:snapToGrid w:val="0"/>
        <w:spacing w:line="300" w:lineRule="auto"/>
        <w:ind w:left="420" w:firstLine="0"/>
        <w:rPr>
          <w:rFonts w:hint="eastAsia" w:ascii="宋体" w:hAnsi="宋体" w:eastAsia="宋体" w:cs="宋体"/>
          <w:color w:val="000000"/>
          <w:sz w:val="21"/>
          <w:szCs w:val="21"/>
        </w:rPr>
      </w:pPr>
      <w:r>
        <w:rPr>
          <w:rFonts w:hint="eastAsia" w:ascii="宋体" w:hAnsi="宋体" w:eastAsia="宋体" w:cs="宋体"/>
          <w:b/>
          <w:color w:val="000000"/>
          <w:sz w:val="21"/>
          <w:szCs w:val="21"/>
        </w:rPr>
        <w:t>1、职业岗位群</w:t>
      </w:r>
      <w:r>
        <w:rPr>
          <w:rFonts w:hint="eastAsia" w:ascii="宋体" w:hAnsi="宋体" w:eastAsia="宋体" w:cs="宋体"/>
          <w:color w:val="000000"/>
          <w:sz w:val="21"/>
          <w:szCs w:val="21"/>
        </w:rPr>
        <w:tab/>
      </w:r>
      <w:r>
        <w:rPr>
          <w:rFonts w:hint="eastAsia" w:ascii="宋体" w:hAnsi="宋体" w:eastAsia="宋体" w:cs="宋体"/>
          <w:color w:val="000000"/>
          <w:sz w:val="21"/>
          <w:szCs w:val="21"/>
        </w:rPr>
        <w:t>22</w:t>
      </w:r>
    </w:p>
    <w:p>
      <w:pPr>
        <w:tabs>
          <w:tab w:val="center" w:leader="dot" w:pos="9060"/>
        </w:tabs>
        <w:snapToGrid w:val="0"/>
        <w:spacing w:line="300" w:lineRule="auto"/>
        <w:ind w:left="420" w:firstLine="0"/>
        <w:rPr>
          <w:rFonts w:hint="eastAsia" w:ascii="宋体" w:hAnsi="宋体" w:eastAsia="宋体" w:cs="宋体"/>
          <w:color w:val="000000"/>
          <w:sz w:val="21"/>
          <w:szCs w:val="21"/>
        </w:rPr>
      </w:pPr>
      <w:r>
        <w:rPr>
          <w:rFonts w:hint="eastAsia" w:ascii="宋体" w:hAnsi="宋体" w:eastAsia="宋体" w:cs="宋体"/>
          <w:b/>
          <w:color w:val="000000"/>
          <w:sz w:val="21"/>
          <w:szCs w:val="21"/>
        </w:rPr>
        <w:t>2、职业岗位进阶</w:t>
      </w:r>
      <w:r>
        <w:rPr>
          <w:rFonts w:hint="eastAsia" w:ascii="宋体" w:hAnsi="宋体" w:eastAsia="宋体" w:cs="宋体"/>
          <w:color w:val="000000"/>
          <w:sz w:val="21"/>
          <w:szCs w:val="21"/>
        </w:rPr>
        <w:tab/>
      </w:r>
      <w:r>
        <w:rPr>
          <w:rFonts w:hint="eastAsia" w:ascii="宋体" w:hAnsi="宋体" w:eastAsia="宋体" w:cs="宋体"/>
          <w:color w:val="000000"/>
          <w:sz w:val="21"/>
          <w:szCs w:val="21"/>
        </w:rPr>
        <w:t>22</w:t>
      </w:r>
    </w:p>
    <w:p>
      <w:pPr>
        <w:tabs>
          <w:tab w:val="center" w:leader="dot" w:pos="9060"/>
        </w:tabs>
        <w:snapToGrid w:val="0"/>
        <w:spacing w:line="300" w:lineRule="auto"/>
        <w:ind w:left="420" w:firstLine="0"/>
        <w:rPr>
          <w:rFonts w:hint="eastAsia" w:ascii="宋体" w:hAnsi="宋体" w:eastAsia="宋体" w:cs="宋体"/>
          <w:color w:val="000000"/>
          <w:sz w:val="21"/>
          <w:szCs w:val="21"/>
        </w:rPr>
      </w:pPr>
      <w:r>
        <w:rPr>
          <w:rFonts w:hint="eastAsia" w:eastAsia="宋体" w:cs="宋体"/>
          <w:b/>
          <w:color w:val="000000"/>
          <w:sz w:val="21"/>
          <w:szCs w:val="21"/>
        </w:rPr>
        <w:t>㈡就业面向</w:t>
      </w:r>
      <w:r>
        <w:rPr>
          <w:rFonts w:hint="eastAsia" w:eastAsia="宋体" w:cs="宋体"/>
          <w:color w:val="000000"/>
          <w:sz w:val="21"/>
          <w:szCs w:val="21"/>
        </w:rPr>
        <w:tab/>
      </w:r>
      <w:r>
        <w:rPr>
          <w:rFonts w:hint="eastAsia" w:eastAsia="宋体" w:cs="宋体"/>
          <w:color w:val="000000"/>
          <w:sz w:val="21"/>
          <w:szCs w:val="21"/>
        </w:rPr>
        <w:t>23</w:t>
      </w:r>
    </w:p>
    <w:p>
      <w:pPr>
        <w:tabs>
          <w:tab w:val="center" w:leader="dot" w:pos="9060"/>
        </w:tabs>
        <w:snapToGrid w:val="0"/>
        <w:spacing w:line="300" w:lineRule="auto"/>
        <w:ind w:left="420" w:firstLine="0"/>
        <w:rPr>
          <w:rFonts w:hint="eastAsia" w:ascii="宋体" w:hAnsi="宋体" w:eastAsia="宋体" w:cs="宋体"/>
          <w:color w:val="000000"/>
          <w:sz w:val="21"/>
          <w:szCs w:val="21"/>
        </w:rPr>
      </w:pPr>
      <w:r>
        <w:rPr>
          <w:rFonts w:hint="eastAsia" w:eastAsia="宋体" w:cs="宋体"/>
          <w:b/>
          <w:color w:val="000000"/>
          <w:sz w:val="21"/>
          <w:szCs w:val="21"/>
        </w:rPr>
        <w:t>1、初始岗位（毕业后1至2年的主要岗位）</w:t>
      </w:r>
      <w:r>
        <w:rPr>
          <w:rFonts w:hint="eastAsia" w:eastAsia="宋体" w:cs="宋体"/>
          <w:color w:val="000000"/>
          <w:sz w:val="21"/>
          <w:szCs w:val="21"/>
        </w:rPr>
        <w:tab/>
      </w:r>
      <w:r>
        <w:rPr>
          <w:rFonts w:hint="eastAsia" w:eastAsia="宋体" w:cs="宋体"/>
          <w:color w:val="000000"/>
          <w:sz w:val="21"/>
          <w:szCs w:val="21"/>
        </w:rPr>
        <w:t>23</w:t>
      </w:r>
    </w:p>
    <w:p>
      <w:pPr>
        <w:tabs>
          <w:tab w:val="center" w:leader="dot" w:pos="9060"/>
        </w:tabs>
        <w:snapToGrid w:val="0"/>
        <w:spacing w:line="300" w:lineRule="auto"/>
        <w:ind w:left="420" w:firstLine="0"/>
        <w:rPr>
          <w:rFonts w:hint="eastAsia" w:eastAsia="宋体" w:cs="宋体"/>
          <w:color w:val="000000"/>
          <w:sz w:val="21"/>
          <w:szCs w:val="21"/>
        </w:rPr>
      </w:pPr>
      <w:r>
        <w:rPr>
          <w:rFonts w:hint="eastAsia" w:eastAsia="宋体" w:cs="宋体"/>
          <w:b/>
          <w:color w:val="000000"/>
          <w:sz w:val="21"/>
          <w:szCs w:val="21"/>
        </w:rPr>
        <w:t>2、发展岗位（毕业后3至5年的主要岗位）</w:t>
      </w:r>
      <w:r>
        <w:rPr>
          <w:rFonts w:hint="eastAsia" w:eastAsia="宋体" w:cs="宋体"/>
          <w:color w:val="000000"/>
          <w:sz w:val="21"/>
          <w:szCs w:val="21"/>
        </w:rPr>
        <w:tab/>
      </w:r>
      <w:r>
        <w:rPr>
          <w:rFonts w:hint="eastAsia" w:eastAsia="宋体" w:cs="宋体"/>
          <w:color w:val="000000"/>
          <w:sz w:val="21"/>
          <w:szCs w:val="21"/>
        </w:rPr>
        <w:t>23</w:t>
      </w:r>
    </w:p>
    <w:p>
      <w:pPr>
        <w:tabs>
          <w:tab w:val="center" w:leader="dot" w:pos="9060"/>
        </w:tabs>
        <w:snapToGrid w:val="0"/>
        <w:spacing w:line="300" w:lineRule="auto"/>
        <w:ind w:left="420" w:firstLine="0"/>
        <w:rPr>
          <w:rFonts w:hint="eastAsia" w:eastAsia="宋体" w:cs="宋体"/>
          <w:color w:val="000000"/>
          <w:sz w:val="21"/>
          <w:szCs w:val="21"/>
        </w:rPr>
      </w:pPr>
      <w:r>
        <w:rPr>
          <w:rFonts w:hint="eastAsia" w:eastAsia="宋体" w:cs="宋体"/>
          <w:b/>
          <w:color w:val="000000"/>
          <w:sz w:val="21"/>
          <w:szCs w:val="21"/>
        </w:rPr>
        <w:t>㈢职业岗位、工作任务与核心能力</w:t>
      </w:r>
      <w:r>
        <w:rPr>
          <w:rFonts w:hint="eastAsia" w:eastAsia="宋体" w:cs="宋体"/>
          <w:color w:val="000000"/>
          <w:sz w:val="21"/>
          <w:szCs w:val="21"/>
        </w:rPr>
        <w:tab/>
      </w:r>
      <w:r>
        <w:rPr>
          <w:rFonts w:hint="eastAsia" w:eastAsia="宋体" w:cs="宋体"/>
          <w:color w:val="000000"/>
          <w:sz w:val="21"/>
          <w:szCs w:val="21"/>
        </w:rPr>
        <w:t>23</w:t>
      </w:r>
    </w:p>
    <w:p>
      <w:pPr>
        <w:tabs>
          <w:tab w:val="center" w:leader="dot" w:pos="9060"/>
        </w:tabs>
        <w:snapToGrid w:val="0"/>
        <w:spacing w:line="300" w:lineRule="auto"/>
        <w:ind w:firstLine="0"/>
        <w:rPr>
          <w:rFonts w:hint="eastAsia" w:ascii="宋体" w:hAnsi="宋体" w:eastAsia="宋体" w:cs="宋体"/>
          <w:color w:val="000000"/>
          <w:sz w:val="21"/>
          <w:szCs w:val="21"/>
        </w:rPr>
      </w:pPr>
      <w:r>
        <w:rPr>
          <w:rFonts w:hint="eastAsia" w:eastAsia="宋体" w:cs="宋体"/>
          <w:b/>
          <w:color w:val="000000"/>
          <w:sz w:val="21"/>
          <w:szCs w:val="21"/>
        </w:rPr>
        <w:t>三、培养目标与专业人才培养规格</w:t>
      </w:r>
      <w:r>
        <w:rPr>
          <w:rFonts w:hint="eastAsia" w:eastAsia="宋体" w:cs="宋体"/>
          <w:color w:val="000000"/>
          <w:sz w:val="21"/>
          <w:szCs w:val="21"/>
        </w:rPr>
        <w:tab/>
      </w:r>
      <w:r>
        <w:rPr>
          <w:rFonts w:hint="eastAsia" w:eastAsia="宋体" w:cs="宋体"/>
          <w:color w:val="000000"/>
          <w:sz w:val="21"/>
          <w:szCs w:val="21"/>
        </w:rPr>
        <w:t>23</w:t>
      </w:r>
    </w:p>
    <w:p>
      <w:pPr>
        <w:tabs>
          <w:tab w:val="center" w:leader="dot" w:pos="9060"/>
        </w:tabs>
        <w:snapToGrid w:val="0"/>
        <w:spacing w:line="300" w:lineRule="auto"/>
        <w:ind w:left="420" w:firstLine="0"/>
        <w:rPr>
          <w:rFonts w:hint="eastAsia" w:asciiTheme="minorEastAsia" w:hAnsiTheme="minorEastAsia" w:eastAsiaTheme="minorEastAsia" w:cstheme="minorEastAsia"/>
          <w:color w:val="000000"/>
          <w:sz w:val="21"/>
          <w:szCs w:val="21"/>
        </w:rPr>
      </w:pPr>
      <w:r>
        <w:rPr>
          <w:rFonts w:hint="eastAsia" w:ascii="宋体" w:hAnsi="宋体" w:eastAsia="宋体" w:cs="宋体"/>
          <w:b/>
          <w:color w:val="000000"/>
          <w:sz w:val="21"/>
          <w:szCs w:val="21"/>
        </w:rPr>
        <w:t>㈠培养目标</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24</w:t>
      </w:r>
    </w:p>
    <w:p>
      <w:pPr>
        <w:tabs>
          <w:tab w:val="center" w:leader="dot" w:pos="9060"/>
        </w:tabs>
        <w:snapToGrid w:val="0"/>
        <w:spacing w:line="300" w:lineRule="auto"/>
        <w:ind w:left="420"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㈡专业人才培养规格</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24</w:t>
      </w:r>
    </w:p>
    <w:p>
      <w:pPr>
        <w:tabs>
          <w:tab w:val="center" w:leader="dot" w:pos="9060"/>
        </w:tabs>
        <w:snapToGrid w:val="0"/>
        <w:spacing w:line="300" w:lineRule="auto"/>
        <w:ind w:left="420"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1.素质要求</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24</w:t>
      </w:r>
    </w:p>
    <w:p>
      <w:pPr>
        <w:tabs>
          <w:tab w:val="center" w:leader="dot" w:pos="9060"/>
        </w:tabs>
        <w:snapToGrid w:val="0"/>
        <w:spacing w:line="300" w:lineRule="auto"/>
        <w:ind w:left="420"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2.知识要求</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25</w:t>
      </w:r>
    </w:p>
    <w:p>
      <w:pPr>
        <w:tabs>
          <w:tab w:val="center" w:leader="dot" w:pos="9060"/>
        </w:tabs>
        <w:snapToGrid w:val="0"/>
        <w:spacing w:line="300" w:lineRule="auto"/>
        <w:ind w:left="420"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3.能力要求</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25</w:t>
      </w:r>
    </w:p>
    <w:p>
      <w:pPr>
        <w:tabs>
          <w:tab w:val="center" w:leader="dot" w:pos="9060"/>
        </w:tabs>
        <w:snapToGrid w:val="0"/>
        <w:spacing w:line="300" w:lineRule="auto"/>
        <w:ind w:left="420"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4、职业资格证书与课程证书</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25</w:t>
      </w:r>
    </w:p>
    <w:p>
      <w:pPr>
        <w:tabs>
          <w:tab w:val="center" w:leader="dot" w:pos="9060"/>
        </w:tabs>
        <w:snapToGrid w:val="0"/>
        <w:spacing w:line="300" w:lineRule="auto"/>
        <w:ind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四、课程体系与核心课程（教学内容）</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25</w:t>
      </w:r>
    </w:p>
    <w:p>
      <w:pPr>
        <w:tabs>
          <w:tab w:val="center" w:leader="dot" w:pos="9060"/>
        </w:tabs>
        <w:snapToGrid w:val="0"/>
        <w:spacing w:line="300" w:lineRule="auto"/>
        <w:ind w:left="420"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㈠专业课程体系的架构</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26</w:t>
      </w:r>
    </w:p>
    <w:p>
      <w:pPr>
        <w:tabs>
          <w:tab w:val="center" w:leader="dot" w:pos="9060"/>
        </w:tabs>
        <w:snapToGrid w:val="0"/>
        <w:spacing w:line="300" w:lineRule="auto"/>
        <w:ind w:left="420"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㈡专业课程</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27</w:t>
      </w:r>
    </w:p>
    <w:p>
      <w:pPr>
        <w:tabs>
          <w:tab w:val="center" w:leader="dot" w:pos="9060"/>
        </w:tabs>
        <w:snapToGrid w:val="0"/>
        <w:spacing w:line="300" w:lineRule="auto"/>
        <w:ind w:left="420"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㈢实践教学环节安排与说明</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28</w:t>
      </w:r>
    </w:p>
    <w:p>
      <w:pPr>
        <w:tabs>
          <w:tab w:val="center" w:leader="dot" w:pos="9060"/>
        </w:tabs>
        <w:snapToGrid w:val="0"/>
        <w:spacing w:line="300" w:lineRule="auto"/>
        <w:ind w:left="420"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1.实践教学甘特图</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28</w:t>
      </w:r>
    </w:p>
    <w:p>
      <w:pPr>
        <w:tabs>
          <w:tab w:val="center" w:leader="dot" w:pos="9060"/>
        </w:tabs>
        <w:snapToGrid w:val="0"/>
        <w:spacing w:line="300" w:lineRule="auto"/>
        <w:ind w:left="420"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2.独立设置实践教学环节安排表</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29</w:t>
      </w:r>
    </w:p>
    <w:p>
      <w:pPr>
        <w:tabs>
          <w:tab w:val="center" w:leader="dot" w:pos="9060"/>
        </w:tabs>
        <w:snapToGrid w:val="0"/>
        <w:spacing w:line="300" w:lineRule="auto"/>
        <w:ind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五、教学进程安排与说明</w:t>
      </w:r>
      <w:r>
        <w:rPr>
          <w:rFonts w:hint="eastAsia" w:asciiTheme="minorEastAsia" w:hAnsiTheme="minorEastAsia" w:eastAsiaTheme="minorEastAsia" w:cstheme="minorEastAsia"/>
          <w:color w:val="000000"/>
          <w:sz w:val="21"/>
          <w:szCs w:val="21"/>
        </w:rPr>
        <w:tab/>
      </w:r>
    </w:p>
    <w:p>
      <w:pPr>
        <w:tabs>
          <w:tab w:val="center" w:leader="dot" w:pos="9060"/>
        </w:tabs>
        <w:snapToGrid w:val="0"/>
        <w:spacing w:line="300" w:lineRule="auto"/>
        <w:ind w:left="420"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㈠课程学时结构</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1</w:t>
      </w:r>
    </w:p>
    <w:p>
      <w:pPr>
        <w:tabs>
          <w:tab w:val="center" w:leader="dot" w:pos="9060"/>
        </w:tabs>
        <w:snapToGrid w:val="0"/>
        <w:spacing w:line="300" w:lineRule="auto"/>
        <w:ind w:left="420"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㈡周教学时间分配表</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1</w:t>
      </w:r>
    </w:p>
    <w:p>
      <w:pPr>
        <w:tabs>
          <w:tab w:val="center" w:leader="dot" w:pos="9060"/>
        </w:tabs>
        <w:snapToGrid w:val="0"/>
        <w:spacing w:line="300" w:lineRule="auto"/>
        <w:ind w:left="420"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㈢教学进程表</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2</w:t>
      </w:r>
    </w:p>
    <w:p>
      <w:pPr>
        <w:tabs>
          <w:tab w:val="center" w:leader="dot" w:pos="9060"/>
        </w:tabs>
        <w:snapToGrid w:val="0"/>
        <w:spacing w:line="300" w:lineRule="auto"/>
        <w:ind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六、教学环境和设施要求</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7</w:t>
      </w:r>
    </w:p>
    <w:p>
      <w:pPr>
        <w:tabs>
          <w:tab w:val="center" w:leader="dot" w:pos="9060"/>
        </w:tabs>
        <w:snapToGrid w:val="0"/>
        <w:spacing w:line="300" w:lineRule="auto"/>
        <w:ind w:left="420"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（一）教学设施</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7</w:t>
      </w:r>
    </w:p>
    <w:p>
      <w:pPr>
        <w:tabs>
          <w:tab w:val="center" w:leader="dot" w:pos="9060"/>
        </w:tabs>
        <w:snapToGrid w:val="0"/>
        <w:spacing w:line="300" w:lineRule="auto"/>
        <w:ind w:left="420"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（二）教材及图书、数字化（网络）资料等学习资源</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7</w:t>
      </w:r>
    </w:p>
    <w:p>
      <w:pPr>
        <w:tabs>
          <w:tab w:val="center" w:leader="dot" w:pos="9060"/>
        </w:tabs>
        <w:snapToGrid w:val="0"/>
        <w:spacing w:line="300" w:lineRule="auto"/>
        <w:ind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七、专业教师任职资格与教学团队要求</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7</w:t>
      </w:r>
    </w:p>
    <w:p>
      <w:pPr>
        <w:tabs>
          <w:tab w:val="center" w:leader="dot" w:pos="9060"/>
        </w:tabs>
        <w:snapToGrid w:val="0"/>
        <w:spacing w:line="300" w:lineRule="auto"/>
        <w:ind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八、实施建议</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7</w:t>
      </w:r>
    </w:p>
    <w:p>
      <w:pPr>
        <w:tabs>
          <w:tab w:val="center" w:leader="dot" w:pos="9060"/>
        </w:tabs>
        <w:snapToGrid w:val="0"/>
        <w:spacing w:line="300" w:lineRule="auto"/>
        <w:ind w:left="420"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（一）教学方法、手段与教学组织形式建议</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7</w:t>
      </w:r>
    </w:p>
    <w:p>
      <w:pPr>
        <w:tabs>
          <w:tab w:val="center" w:leader="dot" w:pos="9060"/>
        </w:tabs>
        <w:snapToGrid w:val="0"/>
        <w:spacing w:line="300" w:lineRule="auto"/>
        <w:ind w:left="420"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（二）教学评价、考核建议</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7</w:t>
      </w:r>
    </w:p>
    <w:p>
      <w:pPr>
        <w:tabs>
          <w:tab w:val="center" w:leader="dot" w:pos="9060"/>
        </w:tabs>
        <w:snapToGrid w:val="0"/>
        <w:spacing w:line="300" w:lineRule="auto"/>
        <w:ind w:left="420"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（三）教学管理</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8</w:t>
      </w:r>
    </w:p>
    <w:p>
      <w:pPr>
        <w:tabs>
          <w:tab w:val="center" w:leader="dot" w:pos="9060"/>
        </w:tabs>
        <w:snapToGrid w:val="0"/>
        <w:spacing w:line="300" w:lineRule="auto"/>
        <w:ind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九、质量管理</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8</w:t>
      </w:r>
    </w:p>
    <w:p>
      <w:pPr>
        <w:tabs>
          <w:tab w:val="center" w:leader="dot" w:pos="9060"/>
        </w:tabs>
        <w:snapToGrid w:val="0"/>
        <w:spacing w:line="300" w:lineRule="auto"/>
        <w:ind w:firstLine="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十、毕业要求</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8</w:t>
      </w:r>
    </w:p>
    <w:p>
      <w:pPr>
        <w:snapToGrid w:val="0"/>
        <w:spacing w:line="300" w:lineRule="auto"/>
        <w:ind w:firstLine="0"/>
        <w:jc w:val="center"/>
        <w:rPr>
          <w:rFonts w:hint="eastAsia" w:asciiTheme="minorEastAsia" w:hAnsiTheme="minorEastAsia" w:eastAsiaTheme="minorEastAsia" w:cstheme="minorEastAsia"/>
          <w:color w:val="000000"/>
          <w:sz w:val="21"/>
          <w:szCs w:val="21"/>
        </w:rPr>
      </w:pPr>
    </w:p>
    <w:p>
      <w:pPr>
        <w:snapToGrid w:val="0"/>
        <w:spacing w:line="300" w:lineRule="auto"/>
        <w:ind w:firstLine="0"/>
        <w:jc w:val="center"/>
        <w:rPr>
          <w:rFonts w:hint="eastAsia" w:asciiTheme="minorEastAsia" w:hAnsiTheme="minorEastAsia" w:eastAsiaTheme="minorEastAsia" w:cstheme="minorEastAsia"/>
          <w:color w:val="000000"/>
          <w:sz w:val="21"/>
          <w:szCs w:val="21"/>
        </w:rPr>
      </w:pPr>
    </w:p>
    <w:p>
      <w:pPr>
        <w:snapToGrid w:val="0"/>
        <w:spacing w:line="300" w:lineRule="auto"/>
        <w:ind w:firstLine="0"/>
        <w:jc w:val="center"/>
        <w:rPr>
          <w:rFonts w:hint="eastAsia" w:asciiTheme="minorEastAsia" w:hAnsiTheme="minorEastAsia" w:eastAsiaTheme="minorEastAsia" w:cstheme="minorEastAsia"/>
          <w:color w:val="000000"/>
          <w:sz w:val="21"/>
          <w:szCs w:val="21"/>
        </w:rPr>
      </w:pPr>
    </w:p>
    <w:p>
      <w:pPr>
        <w:snapToGrid w:val="0"/>
        <w:ind w:firstLine="0"/>
        <w:jc w:val="center"/>
        <w:rPr>
          <w:rFonts w:ascii="仿宋" w:hAnsi="仿宋" w:eastAsia="仿宋"/>
          <w:color w:val="000000"/>
          <w:sz w:val="28"/>
        </w:rPr>
      </w:pPr>
    </w:p>
    <w:p>
      <w:pPr>
        <w:snapToGrid w:val="0"/>
        <w:ind w:firstLine="0"/>
        <w:jc w:val="center"/>
        <w:rPr>
          <w:rFonts w:ascii="仿宋" w:hAnsi="仿宋" w:eastAsia="仿宋"/>
          <w:color w:val="000000"/>
          <w:sz w:val="28"/>
        </w:rPr>
      </w:pPr>
    </w:p>
    <w:p>
      <w:pPr>
        <w:snapToGrid w:val="0"/>
        <w:ind w:firstLine="0"/>
        <w:rPr>
          <w:color w:val="000000"/>
          <w:sz w:val="21"/>
        </w:rPr>
      </w:pPr>
    </w:p>
    <w:p>
      <w:pPr>
        <w:widowControl/>
        <w:snapToGrid w:val="0"/>
        <w:ind w:firstLine="0"/>
        <w:jc w:val="center"/>
        <w:rPr>
          <w:rFonts w:ascii="仿宋" w:hAnsi="仿宋" w:eastAsia="仿宋"/>
          <w:b/>
          <w:color w:val="000000"/>
          <w:sz w:val="30"/>
        </w:rPr>
      </w:pPr>
      <w:r>
        <w:rPr>
          <w:rFonts w:hint="eastAsia" w:ascii="仿宋" w:hAnsi="仿宋" w:eastAsia="仿宋"/>
          <w:b/>
          <w:color w:val="000000"/>
          <w:sz w:val="30"/>
        </w:rPr>
        <w:t>需要更改页码时，请先将正文里更改完毕后，单击《目录》内容，使之成为灰色，后点右键，选择“</w:t>
      </w:r>
    </w:p>
    <w:p>
      <w:pPr>
        <w:snapToGrid w:val="0"/>
        <w:ind w:firstLine="0"/>
        <w:rPr>
          <w:color w:val="000000"/>
          <w:sz w:val="21"/>
        </w:rPr>
      </w:pPr>
    </w:p>
    <w:p>
      <w:pPr>
        <w:widowControl/>
        <w:snapToGrid w:val="0"/>
        <w:ind w:firstLine="0"/>
        <w:jc w:val="center"/>
        <w:rPr>
          <w:rFonts w:ascii="仿宋" w:hAnsi="仿宋" w:eastAsia="仿宋"/>
          <w:b/>
          <w:color w:val="000000"/>
          <w:sz w:val="30"/>
        </w:rPr>
      </w:pPr>
      <w:r>
        <w:rPr>
          <w:rFonts w:hint="eastAsia" w:ascii="仿宋" w:hAnsi="仿宋" w:eastAsia="仿宋"/>
          <w:b/>
          <w:color w:val="000000"/>
          <w:sz w:val="30"/>
        </w:rPr>
        <w:t>更新域”，即可！</w:t>
      </w:r>
    </w:p>
    <w:p>
      <w:pPr>
        <w:widowControl/>
        <w:snapToGrid w:val="0"/>
        <w:ind w:firstLine="0"/>
        <w:jc w:val="center"/>
        <w:rPr>
          <w:rFonts w:ascii="仿宋" w:hAnsi="仿宋" w:eastAsia="仿宋"/>
          <w:b/>
          <w:color w:val="000000"/>
          <w:sz w:val="32"/>
        </w:rPr>
      </w:pPr>
      <w:r>
        <w:rPr>
          <w:rFonts w:hint="eastAsia" w:ascii="仿宋" w:hAnsi="仿宋" w:eastAsia="仿宋"/>
          <w:b/>
          <w:color w:val="000000"/>
          <w:sz w:val="30"/>
        </w:rPr>
        <w:t>全部编制工作完成时，定义住目录所有内容，设为宋体</w:t>
      </w:r>
      <w:r>
        <w:rPr>
          <w:rFonts w:hint="eastAsia" w:ascii="仿宋" w:hAnsi="仿宋" w:eastAsia="仿宋"/>
          <w:b/>
          <w:color w:val="000000"/>
          <w:sz w:val="30"/>
          <w:lang w:val="en-US" w:eastAsia="zh-CN"/>
        </w:rPr>
        <w:t>5</w:t>
      </w:r>
      <w:r>
        <w:rPr>
          <w:rFonts w:hint="eastAsia" w:ascii="仿宋" w:hAnsi="仿宋" w:eastAsia="仿宋"/>
          <w:b/>
          <w:color w:val="000000"/>
          <w:sz w:val="30"/>
        </w:rPr>
        <w:t>号字，行间距</w:t>
      </w:r>
      <w:r>
        <w:rPr>
          <w:rFonts w:ascii="仿宋" w:hAnsi="仿宋" w:eastAsia="仿宋"/>
          <w:b/>
          <w:color w:val="000000"/>
          <w:sz w:val="30"/>
        </w:rPr>
        <w:t>1.25</w:t>
      </w:r>
      <w:r>
        <w:rPr>
          <w:rFonts w:hint="eastAsia" w:ascii="仿宋" w:hAnsi="仿宋" w:eastAsia="仿宋"/>
          <w:b/>
          <w:color w:val="000000"/>
          <w:sz w:val="30"/>
        </w:rPr>
        <w:t>倍，即可！</w:t>
      </w:r>
    </w:p>
    <w:p>
      <w:pPr>
        <w:widowControl/>
        <w:snapToGrid w:val="0"/>
        <w:ind w:firstLine="0"/>
        <w:jc w:val="center"/>
        <w:rPr>
          <w:color w:val="000000"/>
        </w:rPr>
        <w:sectPr>
          <w:headerReference r:id="rId5" w:type="default"/>
          <w:footerReference r:id="rId6" w:type="default"/>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p>
      <w:pPr>
        <w:widowControl/>
        <w:snapToGrid w:val="0"/>
        <w:spacing w:line="400" w:lineRule="exact"/>
        <w:ind w:firstLine="0"/>
        <w:jc w:val="left"/>
        <w:rPr>
          <w:rFonts w:ascii="仿宋_GB2312" w:eastAsia="仿宋_GB2312"/>
          <w:b/>
          <w:color w:val="000000"/>
          <w:sz w:val="24"/>
        </w:rPr>
      </w:pPr>
    </w:p>
    <w:p>
      <w:pPr>
        <w:widowControl/>
        <w:snapToGrid w:val="0"/>
        <w:spacing w:line="400" w:lineRule="exact"/>
        <w:ind w:left="482" w:firstLine="482"/>
        <w:jc w:val="left"/>
        <w:rPr>
          <w:rFonts w:ascii="仿宋_GB2312" w:eastAsia="仿宋_GB2312"/>
          <w:b/>
          <w:color w:val="000000"/>
          <w:sz w:val="24"/>
        </w:rPr>
      </w:pPr>
    </w:p>
    <w:p>
      <w:pPr>
        <w:widowControl/>
        <w:snapToGrid w:val="0"/>
        <w:ind w:firstLine="0"/>
        <w:jc w:val="left"/>
        <w:rPr>
          <w:rFonts w:hint="eastAsia" w:ascii="仿宋" w:hAnsi="仿宋" w:eastAsia="仿宋" w:cs="仿宋"/>
          <w:b/>
          <w:color w:val="000000"/>
          <w:sz w:val="28"/>
        </w:rPr>
      </w:pPr>
      <w:r>
        <w:rPr>
          <w:rFonts w:hint="eastAsia" w:ascii="仿宋" w:hAnsi="仿宋" w:eastAsia="仿宋" w:cs="仿宋"/>
          <w:b/>
          <w:color w:val="000000"/>
          <w:sz w:val="28"/>
        </w:rPr>
        <w:t>一、入学要求与修业年限</w:t>
      </w:r>
    </w:p>
    <w:p>
      <w:pPr>
        <w:widowControl/>
        <w:snapToGrid w:val="0"/>
        <w:ind w:left="482" w:firstLine="482"/>
        <w:jc w:val="left"/>
        <w:rPr>
          <w:rFonts w:ascii="仿宋" w:hAnsi="仿宋" w:eastAsia="仿宋"/>
          <w:b/>
          <w:color w:val="000000"/>
          <w:sz w:val="24"/>
        </w:rPr>
      </w:pPr>
      <w:r>
        <w:rPr>
          <w:rFonts w:hint="eastAsia" w:ascii="仿宋" w:hAnsi="仿宋" w:eastAsia="仿宋"/>
          <w:b/>
          <w:color w:val="000000"/>
          <w:sz w:val="24"/>
        </w:rPr>
        <w:t>㈠入学要求</w:t>
      </w: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1.中职入学要求：初中毕业生或具有同等学历者</w:t>
      </w: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2.高职入学要求：符合3+2转段条件的中职毕业生</w:t>
      </w:r>
    </w:p>
    <w:p>
      <w:pPr>
        <w:widowControl/>
        <w:snapToGrid w:val="0"/>
        <w:ind w:left="482" w:firstLine="482" w:firstLineChars="200"/>
        <w:jc w:val="left"/>
        <w:rPr>
          <w:rFonts w:ascii="仿宋" w:hAnsi="仿宋" w:eastAsia="仿宋"/>
          <w:b/>
          <w:color w:val="000000"/>
          <w:sz w:val="24"/>
        </w:rPr>
      </w:pPr>
      <w:r>
        <w:rPr>
          <w:rFonts w:hint="eastAsia" w:ascii="仿宋" w:hAnsi="仿宋" w:eastAsia="仿宋"/>
          <w:b/>
          <w:color w:val="000000"/>
          <w:sz w:val="24"/>
          <w:szCs w:val="22"/>
        </w:rPr>
        <w:t>㈡</w:t>
      </w:r>
      <w:r>
        <w:rPr>
          <w:rFonts w:hint="eastAsia" w:ascii="仿宋" w:hAnsi="仿宋" w:eastAsia="仿宋"/>
          <w:b/>
          <w:color w:val="000000"/>
          <w:sz w:val="24"/>
        </w:rPr>
        <w:t>修业年限：</w:t>
      </w: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1.中职要求：3年</w:t>
      </w: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2.高职要求：2年</w:t>
      </w:r>
    </w:p>
    <w:p>
      <w:pPr>
        <w:widowControl/>
        <w:snapToGrid w:val="0"/>
        <w:ind w:left="0" w:firstLine="0"/>
        <w:jc w:val="left"/>
        <w:rPr>
          <w:rFonts w:hint="eastAsia" w:ascii="仿宋" w:hAnsi="仿宋" w:eastAsia="仿宋" w:cs="仿宋"/>
          <w:b/>
          <w:color w:val="000000"/>
          <w:sz w:val="28"/>
        </w:rPr>
      </w:pPr>
      <w:r>
        <w:rPr>
          <w:rFonts w:hint="eastAsia" w:ascii="仿宋" w:hAnsi="仿宋" w:eastAsia="仿宋" w:cs="仿宋"/>
          <w:b/>
          <w:color w:val="000000"/>
          <w:sz w:val="28"/>
        </w:rPr>
        <w:t>二、职业面向</w:t>
      </w:r>
    </w:p>
    <w:p>
      <w:pPr>
        <w:widowControl/>
        <w:snapToGrid w:val="0"/>
        <w:ind w:left="482" w:firstLine="482"/>
        <w:jc w:val="left"/>
        <w:rPr>
          <w:rFonts w:ascii="仿宋" w:hAnsi="仿宋" w:eastAsia="仿宋"/>
          <w:b/>
          <w:color w:val="000000"/>
          <w:sz w:val="24"/>
        </w:rPr>
      </w:pPr>
      <w:r>
        <w:rPr>
          <w:rFonts w:hint="eastAsia" w:ascii="仿宋" w:hAnsi="仿宋" w:eastAsia="仿宋"/>
          <w:b/>
          <w:color w:val="000000"/>
          <w:sz w:val="24"/>
        </w:rPr>
        <w:t>㈠职业岗位</w:t>
      </w:r>
    </w:p>
    <w:p>
      <w:pPr>
        <w:widowControl/>
        <w:snapToGrid w:val="0"/>
        <w:ind w:left="482" w:firstLine="482"/>
        <w:jc w:val="left"/>
        <w:rPr>
          <w:rFonts w:ascii="仿宋" w:hAnsi="仿宋" w:eastAsia="仿宋"/>
          <w:b/>
          <w:color w:val="000000"/>
          <w:sz w:val="24"/>
        </w:rPr>
      </w:pPr>
      <w:r>
        <w:rPr>
          <w:rFonts w:ascii="仿宋" w:hAnsi="仿宋" w:eastAsia="仿宋"/>
          <w:b/>
          <w:color w:val="000000"/>
          <w:sz w:val="24"/>
        </w:rPr>
        <w:t>1.</w:t>
      </w:r>
      <w:r>
        <w:rPr>
          <w:rFonts w:hint="eastAsia" w:ascii="仿宋" w:hAnsi="仿宋" w:eastAsia="仿宋"/>
          <w:b/>
          <w:color w:val="000000"/>
          <w:sz w:val="24"/>
        </w:rPr>
        <w:t>职业岗位群</w:t>
      </w:r>
    </w:p>
    <w:tbl>
      <w:tblPr>
        <w:tblStyle w:val="9"/>
        <w:tblpPr w:vertAnchor="text" w:horzAnchor="margin" w:tblpXSpec="center" w:tblpY="67"/>
        <w:tblW w:w="0" w:type="auto"/>
        <w:tblInd w:w="0" w:type="dxa"/>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943"/>
        <w:gridCol w:w="1185"/>
        <w:gridCol w:w="1080"/>
        <w:gridCol w:w="1200"/>
        <w:gridCol w:w="1200"/>
        <w:gridCol w:w="1995"/>
        <w:gridCol w:w="2264"/>
      </w:tblGrid>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PrEx>
        <w:trPr>
          <w:trHeight w:val="1140" w:hRule="exact"/>
        </w:trPr>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360" w:lineRule="exact"/>
              <w:ind w:firstLine="0"/>
              <w:jc w:val="center"/>
              <w:rPr>
                <w:rFonts w:hint="eastAsia" w:asciiTheme="minorEastAsia" w:hAnsiTheme="minorEastAsia" w:eastAsiaTheme="minorEastAsia" w:cstheme="minorEastAsia"/>
                <w:b/>
                <w:bCs/>
                <w:color w:val="000000"/>
                <w:sz w:val="21"/>
                <w:szCs w:val="21"/>
              </w:rPr>
            </w:pPr>
          </w:p>
        </w:tc>
        <w:tc>
          <w:tcPr>
            <w:tcW w:w="11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360" w:lineRule="exact"/>
              <w:ind w:firstLine="0"/>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所属专业大类（代码）</w:t>
            </w:r>
          </w:p>
        </w:tc>
        <w:tc>
          <w:tcPr>
            <w:tcW w:w="10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360" w:lineRule="exact"/>
              <w:ind w:firstLine="0"/>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所属专业类</w:t>
            </w:r>
          </w:p>
          <w:p>
            <w:pPr>
              <w:snapToGrid w:val="0"/>
              <w:spacing w:line="360" w:lineRule="exact"/>
              <w:ind w:firstLine="0"/>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（代码）</w:t>
            </w:r>
          </w:p>
        </w:tc>
        <w:tc>
          <w:tcPr>
            <w:tcW w:w="12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360" w:lineRule="exact"/>
              <w:ind w:firstLine="0"/>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对应</w:t>
            </w:r>
          </w:p>
          <w:p>
            <w:pPr>
              <w:snapToGrid w:val="0"/>
              <w:spacing w:line="360" w:lineRule="exact"/>
              <w:ind w:firstLine="0"/>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行业</w:t>
            </w:r>
          </w:p>
          <w:p>
            <w:pPr>
              <w:snapToGrid w:val="0"/>
              <w:spacing w:line="360" w:lineRule="exact"/>
              <w:ind w:firstLine="0"/>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（代码）</w:t>
            </w:r>
          </w:p>
        </w:tc>
        <w:tc>
          <w:tcPr>
            <w:tcW w:w="12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360" w:lineRule="exact"/>
              <w:ind w:firstLine="0"/>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主要职业类别</w:t>
            </w:r>
          </w:p>
          <w:p>
            <w:pPr>
              <w:snapToGrid w:val="0"/>
              <w:spacing w:line="360" w:lineRule="exact"/>
              <w:ind w:firstLine="0"/>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（代码）</w:t>
            </w:r>
          </w:p>
        </w:tc>
        <w:tc>
          <w:tcPr>
            <w:tcW w:w="19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360" w:lineRule="exact"/>
              <w:ind w:firstLine="0"/>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主要岗位类别（或技术领域）</w:t>
            </w:r>
          </w:p>
        </w:tc>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360" w:lineRule="exact"/>
              <w:ind w:firstLine="0"/>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职业资格证书或技能等级证书举例</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PrEx>
        <w:trPr>
          <w:trHeight w:val="945" w:hRule="exact"/>
        </w:trPr>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360" w:lineRule="exact"/>
              <w:ind w:firstLine="0"/>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中职</w:t>
            </w:r>
          </w:p>
        </w:tc>
        <w:tc>
          <w:tcPr>
            <w:tcW w:w="11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520" w:lineRule="exact"/>
              <w:ind w:firstLine="0"/>
              <w:jc w:val="center"/>
              <w:rPr>
                <w:rFonts w:hint="eastAsia" w:asciiTheme="minorEastAsia" w:hAnsiTheme="minorEastAsia" w:eastAsiaTheme="minorEastAsia" w:cstheme="minorEastAsia"/>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520" w:lineRule="exact"/>
              <w:ind w:firstLine="0"/>
              <w:jc w:val="center"/>
              <w:rPr>
                <w:rFonts w:hint="eastAsia" w:asciiTheme="minorEastAsia" w:hAnsiTheme="minorEastAsia" w:eastAsiaTheme="minorEastAsia" w:cstheme="minorEastAsia"/>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520" w:lineRule="exact"/>
              <w:ind w:firstLine="0"/>
              <w:jc w:val="center"/>
              <w:rPr>
                <w:rFonts w:hint="eastAsia" w:asciiTheme="minorEastAsia" w:hAnsiTheme="minorEastAsia" w:eastAsiaTheme="minorEastAsia" w:cstheme="minorEastAsia"/>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520" w:lineRule="exact"/>
              <w:ind w:firstLine="0"/>
              <w:jc w:val="center"/>
              <w:rPr>
                <w:rFonts w:hint="eastAsia" w:asciiTheme="minorEastAsia" w:hAnsiTheme="minorEastAsia" w:eastAsiaTheme="minorEastAsia" w:cstheme="minorEastAsia"/>
                <w:color w:val="000000"/>
                <w:sz w:val="21"/>
                <w:szCs w:val="21"/>
              </w:rPr>
            </w:pPr>
          </w:p>
        </w:tc>
        <w:tc>
          <w:tcPr>
            <w:tcW w:w="19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520" w:lineRule="exact"/>
              <w:ind w:firstLine="0"/>
              <w:jc w:val="center"/>
              <w:rPr>
                <w:rFonts w:hint="eastAsia" w:asciiTheme="minorEastAsia" w:hAnsiTheme="minorEastAsia" w:eastAsiaTheme="minorEastAsia" w:cstheme="minorEastAsia"/>
                <w:color w:val="000000"/>
                <w:sz w:val="21"/>
                <w:szCs w:val="21"/>
              </w:rPr>
            </w:pPr>
          </w:p>
        </w:tc>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520" w:lineRule="exact"/>
              <w:ind w:firstLine="0"/>
              <w:jc w:val="center"/>
              <w:rPr>
                <w:rFonts w:hint="eastAsia" w:asciiTheme="minorEastAsia" w:hAnsiTheme="minorEastAsia" w:eastAsiaTheme="minorEastAsia" w:cstheme="minorEastAsia"/>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PrEx>
        <w:trPr>
          <w:trHeight w:val="945" w:hRule="exact"/>
        </w:trPr>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360" w:lineRule="exact"/>
              <w:ind w:firstLine="0"/>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高职</w:t>
            </w:r>
          </w:p>
        </w:tc>
        <w:tc>
          <w:tcPr>
            <w:tcW w:w="11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520" w:lineRule="exact"/>
              <w:ind w:firstLine="0"/>
              <w:jc w:val="center"/>
              <w:rPr>
                <w:rFonts w:hint="eastAsia" w:asciiTheme="minorEastAsia" w:hAnsiTheme="minorEastAsia" w:eastAsiaTheme="minorEastAsia" w:cstheme="minorEastAsia"/>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520" w:lineRule="exact"/>
              <w:ind w:firstLine="0"/>
              <w:jc w:val="center"/>
              <w:rPr>
                <w:rFonts w:hint="eastAsia" w:asciiTheme="minorEastAsia" w:hAnsiTheme="minorEastAsia" w:eastAsiaTheme="minorEastAsia" w:cstheme="minorEastAsia"/>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520" w:lineRule="exact"/>
              <w:ind w:firstLine="0"/>
              <w:jc w:val="center"/>
              <w:rPr>
                <w:rFonts w:hint="eastAsia" w:asciiTheme="minorEastAsia" w:hAnsiTheme="minorEastAsia" w:eastAsiaTheme="minorEastAsia" w:cstheme="minorEastAsia"/>
                <w:color w:val="000000"/>
                <w:sz w:val="21"/>
                <w:szCs w:val="21"/>
              </w:rPr>
            </w:pPr>
          </w:p>
        </w:tc>
        <w:tc>
          <w:tcPr>
            <w:tcW w:w="12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520" w:lineRule="exact"/>
              <w:ind w:firstLine="0"/>
              <w:jc w:val="center"/>
              <w:rPr>
                <w:rFonts w:hint="eastAsia" w:asciiTheme="minorEastAsia" w:hAnsiTheme="minorEastAsia" w:eastAsiaTheme="minorEastAsia" w:cstheme="minorEastAsia"/>
                <w:color w:val="000000"/>
                <w:sz w:val="21"/>
                <w:szCs w:val="21"/>
              </w:rPr>
            </w:pPr>
          </w:p>
        </w:tc>
        <w:tc>
          <w:tcPr>
            <w:tcW w:w="19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520" w:lineRule="exact"/>
              <w:ind w:firstLine="0"/>
              <w:jc w:val="center"/>
              <w:rPr>
                <w:rFonts w:hint="eastAsia" w:asciiTheme="minorEastAsia" w:hAnsiTheme="minorEastAsia" w:eastAsiaTheme="minorEastAsia" w:cstheme="minorEastAsia"/>
                <w:color w:val="000000"/>
                <w:sz w:val="21"/>
                <w:szCs w:val="21"/>
              </w:rPr>
            </w:pPr>
          </w:p>
        </w:tc>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520" w:lineRule="exact"/>
              <w:ind w:firstLine="0"/>
              <w:jc w:val="center"/>
              <w:rPr>
                <w:rFonts w:hint="eastAsia" w:asciiTheme="minorEastAsia" w:hAnsiTheme="minorEastAsia" w:eastAsiaTheme="minorEastAsia" w:cstheme="minorEastAsia"/>
                <w:color w:val="000000"/>
                <w:sz w:val="21"/>
                <w:szCs w:val="21"/>
              </w:rPr>
            </w:pPr>
          </w:p>
        </w:tc>
      </w:tr>
    </w:tbl>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说明：所属专业大类及所属专业类应依据现行专业目录；对应行业参照现行的《国民经济行业分类》；主要职业类别参照现行的《国家职业分类大典》；根据行业企业调研，明确主要岗位类别（或技术领域）；根据实际情况举例职业资格证书或技能等级证书。</w:t>
      </w:r>
    </w:p>
    <w:p>
      <w:pPr>
        <w:widowControl/>
        <w:snapToGrid w:val="0"/>
        <w:ind w:left="482" w:firstLine="482"/>
        <w:jc w:val="left"/>
        <w:rPr>
          <w:rFonts w:ascii="仿宋" w:hAnsi="仿宋" w:eastAsia="仿宋"/>
          <w:b/>
          <w:color w:val="000000"/>
          <w:sz w:val="24"/>
          <w:szCs w:val="22"/>
        </w:rPr>
      </w:pPr>
      <w:r>
        <w:rPr>
          <w:rFonts w:hint="eastAsia" w:ascii="仿宋" w:hAnsi="仿宋" w:eastAsia="仿宋"/>
          <w:b/>
          <w:color w:val="000000"/>
          <w:sz w:val="24"/>
          <w:szCs w:val="22"/>
        </w:rPr>
        <w:t>2.职业岗位进阶</w:t>
      </w:r>
    </w:p>
    <w:p>
      <w:pPr>
        <w:widowControl/>
        <w:snapToGrid w:val="0"/>
        <w:ind w:firstLine="0"/>
        <w:jc w:val="left"/>
        <w:rPr>
          <w:rFonts w:ascii="仿宋" w:hAnsi="仿宋" w:eastAsia="仿宋"/>
          <w:b/>
          <w:color w:val="000000"/>
          <w:sz w:val="24"/>
        </w:rPr>
      </w:pPr>
      <w:r>
        <w:rPr>
          <w:rFonts w:hint="eastAsia" w:ascii="仿宋" w:hAnsi="仿宋" w:eastAsia="仿宋"/>
          <w:b/>
          <w:color w:val="000000"/>
          <w:sz w:val="24"/>
        </w:rPr>
        <w:t>（范例）</w:t>
      </w:r>
    </w:p>
    <w:tbl>
      <w:tblPr>
        <w:tblStyle w:val="9"/>
        <w:tblW w:w="0" w:type="auto"/>
        <w:tblInd w:w="108" w:type="dxa"/>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1160"/>
        <w:gridCol w:w="880"/>
        <w:gridCol w:w="540"/>
        <w:gridCol w:w="735"/>
        <w:gridCol w:w="705"/>
        <w:gridCol w:w="660"/>
        <w:gridCol w:w="1020"/>
        <w:gridCol w:w="1095"/>
        <w:gridCol w:w="1065"/>
        <w:gridCol w:w="825"/>
        <w:gridCol w:w="893"/>
      </w:tblGrid>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PrEx>
        <w:trPr>
          <w:trHeight w:val="560" w:hRule="atLeast"/>
        </w:trPr>
        <w:tc>
          <w:tcPr>
            <w:tcW w:w="1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ind w:firstLine="0"/>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职业教育层次</w:t>
            </w:r>
          </w:p>
        </w:tc>
        <w:tc>
          <w:tcPr>
            <w:tcW w:w="286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ind w:firstLine="0"/>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营销类</w:t>
            </w:r>
          </w:p>
        </w:tc>
        <w:tc>
          <w:tcPr>
            <w:tcW w:w="384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ind w:firstLine="0"/>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运营类</w:t>
            </w:r>
          </w:p>
        </w:tc>
        <w:tc>
          <w:tcPr>
            <w:tcW w:w="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ind w:firstLine="0"/>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跨境电商类</w:t>
            </w:r>
          </w:p>
        </w:tc>
        <w:tc>
          <w:tcPr>
            <w:tcW w:w="8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ind w:firstLine="0"/>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移动商务类</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195" w:hRule="atLeast"/>
        </w:trPr>
        <w:tc>
          <w:tcPr>
            <w:tcW w:w="1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高职</w:t>
            </w:r>
          </w:p>
        </w:tc>
        <w:tc>
          <w:tcPr>
            <w:tcW w:w="8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网站/网店营销类策划、市场调研员</w:t>
            </w:r>
          </w:p>
        </w:tc>
        <w:tc>
          <w:tcPr>
            <w:tcW w:w="5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产品策划助理</w:t>
            </w:r>
          </w:p>
        </w:tc>
        <w:tc>
          <w:tcPr>
            <w:tcW w:w="7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竞价推广员</w:t>
            </w:r>
          </w:p>
        </w:tc>
        <w:tc>
          <w:tcPr>
            <w:tcW w:w="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客服管理、客户行为分析</w:t>
            </w:r>
          </w:p>
        </w:tc>
        <w:tc>
          <w:tcPr>
            <w:tcW w:w="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电商数据分析员</w:t>
            </w: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商务网站内容编辑、网站信息管理维护、网站安全管理</w:t>
            </w:r>
          </w:p>
        </w:tc>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产品摄影、网页设计与制作、UI设计制作、网络广告设计制作</w:t>
            </w:r>
          </w:p>
        </w:tc>
        <w:tc>
          <w:tcPr>
            <w:tcW w:w="1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网上销售管理、网上采购管理、电商配送</w:t>
            </w:r>
          </w:p>
        </w:tc>
        <w:tc>
          <w:tcPr>
            <w:tcW w:w="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跨境电商运营、速卖通/亚马逊专员</w:t>
            </w:r>
          </w:p>
        </w:tc>
        <w:tc>
          <w:tcPr>
            <w:tcW w:w="8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微信微博运营、APP运营推广、企业公众号运营</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PrEx>
        <w:trPr>
          <w:trHeight w:val="434" w:hRule="atLeast"/>
        </w:trPr>
        <w:tc>
          <w:tcPr>
            <w:tcW w:w="1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中职</w:t>
            </w:r>
          </w:p>
          <w:p>
            <w:pPr>
              <w:snapToGrid w:val="0"/>
              <w:ind w:firstLine="0"/>
              <w:jc w:val="center"/>
              <w:rPr>
                <w:rFonts w:hint="eastAsia" w:asciiTheme="minorEastAsia" w:hAnsiTheme="minorEastAsia" w:eastAsiaTheme="minorEastAsia" w:cstheme="minorEastAsia"/>
                <w:color w:val="000000"/>
                <w:sz w:val="21"/>
                <w:szCs w:val="21"/>
              </w:rPr>
            </w:pPr>
          </w:p>
        </w:tc>
        <w:tc>
          <w:tcPr>
            <w:tcW w:w="8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市场调研助理</w:t>
            </w:r>
          </w:p>
          <w:p>
            <w:pPr>
              <w:snapToGrid w:val="0"/>
              <w:ind w:firstLine="0"/>
              <w:jc w:val="center"/>
              <w:rPr>
                <w:rFonts w:hint="eastAsia" w:asciiTheme="minorEastAsia" w:hAnsiTheme="minorEastAsia" w:eastAsiaTheme="minorEastAsia" w:cstheme="minorEastAsia"/>
                <w:color w:val="000000"/>
                <w:sz w:val="21"/>
                <w:szCs w:val="21"/>
              </w:rPr>
            </w:pPr>
          </w:p>
        </w:tc>
        <w:tc>
          <w:tcPr>
            <w:tcW w:w="5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Theme="minorEastAsia" w:hAnsiTheme="minorEastAsia" w:eastAsiaTheme="minorEastAsia" w:cstheme="minorEastAsia"/>
                <w:color w:val="000000"/>
                <w:sz w:val="21"/>
                <w:szCs w:val="21"/>
              </w:rPr>
            </w:pPr>
          </w:p>
          <w:p>
            <w:pPr>
              <w:snapToGrid w:val="0"/>
              <w:ind w:firstLine="0"/>
              <w:jc w:val="center"/>
              <w:rPr>
                <w:rFonts w:hint="eastAsia" w:asciiTheme="minorEastAsia" w:hAnsiTheme="minorEastAsia" w:eastAsiaTheme="minorEastAsia" w:cstheme="minorEastAsia"/>
                <w:color w:val="000000"/>
                <w:sz w:val="21"/>
                <w:szCs w:val="21"/>
              </w:rPr>
            </w:pPr>
          </w:p>
        </w:tc>
        <w:tc>
          <w:tcPr>
            <w:tcW w:w="7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搜索引擎、邮件等推广员</w:t>
            </w:r>
          </w:p>
        </w:tc>
        <w:tc>
          <w:tcPr>
            <w:tcW w:w="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在线客服、电话客服</w:t>
            </w:r>
          </w:p>
        </w:tc>
        <w:tc>
          <w:tcPr>
            <w:tcW w:w="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电商数据分析助理</w:t>
            </w: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网店内容编辑、商品信息采集、发布、网站安全维护</w:t>
            </w:r>
          </w:p>
        </w:tc>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商品摄影、网店设计、UI制作、网络广告制作</w:t>
            </w:r>
          </w:p>
        </w:tc>
        <w:tc>
          <w:tcPr>
            <w:tcW w:w="1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网上销售、网上采购、电商配送</w:t>
            </w:r>
          </w:p>
        </w:tc>
        <w:tc>
          <w:tcPr>
            <w:tcW w:w="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跨境电商运营员</w:t>
            </w:r>
          </w:p>
        </w:tc>
        <w:tc>
          <w:tcPr>
            <w:tcW w:w="8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微信微博运营与客服、企业公众号运营</w:t>
            </w:r>
          </w:p>
        </w:tc>
      </w:tr>
    </w:tbl>
    <w:p>
      <w:pPr>
        <w:snapToGrid w:val="0"/>
        <w:spacing w:line="460" w:lineRule="exact"/>
        <w:ind w:left="562" w:right="32" w:firstLine="562"/>
        <w:rPr>
          <w:rFonts w:hint="eastAsia" w:asciiTheme="minorEastAsia" w:hAnsiTheme="minorEastAsia" w:eastAsiaTheme="minorEastAsia" w:cstheme="minorEastAsia"/>
          <w:b/>
          <w:color w:val="000000"/>
          <w:sz w:val="21"/>
          <w:szCs w:val="21"/>
        </w:rPr>
      </w:pPr>
    </w:p>
    <w:p>
      <w:pPr>
        <w:widowControl/>
        <w:snapToGrid w:val="0"/>
        <w:ind w:left="482" w:firstLine="482"/>
        <w:jc w:val="left"/>
        <w:rPr>
          <w:rFonts w:ascii="仿宋" w:hAnsi="仿宋" w:eastAsia="仿宋"/>
          <w:b/>
          <w:color w:val="000000"/>
          <w:sz w:val="24"/>
        </w:rPr>
      </w:pPr>
      <w:r>
        <w:rPr>
          <w:rFonts w:hint="eastAsia" w:ascii="仿宋" w:hAnsi="仿宋" w:eastAsia="仿宋"/>
          <w:b/>
          <w:color w:val="000000"/>
          <w:sz w:val="24"/>
        </w:rPr>
        <w:t>㈡就业面向</w:t>
      </w:r>
    </w:p>
    <w:p>
      <w:pPr>
        <w:widowControl/>
        <w:numPr>
          <w:ilvl w:val="0"/>
          <w:numId w:val="4"/>
        </w:numPr>
        <w:tabs>
          <w:tab w:val="left" w:pos="312"/>
        </w:tabs>
        <w:snapToGrid w:val="0"/>
        <w:ind w:left="482" w:firstLine="482"/>
        <w:jc w:val="left"/>
        <w:rPr>
          <w:rFonts w:ascii="仿宋" w:hAnsi="仿宋" w:eastAsia="仿宋"/>
          <w:b/>
          <w:color w:val="000000"/>
          <w:sz w:val="24"/>
        </w:rPr>
      </w:pPr>
      <w:r>
        <w:rPr>
          <w:rFonts w:hint="eastAsia" w:ascii="仿宋" w:hAnsi="仿宋" w:eastAsia="仿宋"/>
          <w:b/>
          <w:color w:val="000000"/>
          <w:sz w:val="24"/>
        </w:rPr>
        <w:t>初始岗位（毕业后</w:t>
      </w:r>
      <w:r>
        <w:rPr>
          <w:rFonts w:ascii="仿宋" w:hAnsi="仿宋" w:eastAsia="仿宋"/>
          <w:b/>
          <w:color w:val="000000"/>
          <w:sz w:val="24"/>
        </w:rPr>
        <w:t>1</w:t>
      </w:r>
      <w:r>
        <w:rPr>
          <w:rFonts w:hint="eastAsia" w:ascii="仿宋" w:hAnsi="仿宋" w:eastAsia="仿宋"/>
          <w:b/>
          <w:color w:val="000000"/>
          <w:sz w:val="24"/>
        </w:rPr>
        <w:t>至</w:t>
      </w:r>
      <w:r>
        <w:rPr>
          <w:rFonts w:ascii="仿宋" w:hAnsi="仿宋" w:eastAsia="仿宋"/>
          <w:b/>
          <w:color w:val="000000"/>
          <w:sz w:val="24"/>
        </w:rPr>
        <w:t>2</w:t>
      </w:r>
      <w:r>
        <w:rPr>
          <w:rFonts w:hint="eastAsia" w:ascii="仿宋" w:hAnsi="仿宋" w:eastAsia="仿宋"/>
          <w:b/>
          <w:color w:val="000000"/>
          <w:sz w:val="24"/>
        </w:rPr>
        <w:t>年的主要岗位）</w:t>
      </w: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中职毕业生对应的初始岗位：</w:t>
      </w:r>
    </w:p>
    <w:p>
      <w:pPr>
        <w:widowControl/>
        <w:snapToGrid w:val="0"/>
        <w:ind w:left="480" w:firstLine="480"/>
        <w:jc w:val="left"/>
        <w:rPr>
          <w:rFonts w:ascii="仿宋" w:hAnsi="仿宋" w:eastAsia="仿宋"/>
          <w:color w:val="000000"/>
          <w:sz w:val="24"/>
        </w:rPr>
      </w:pPr>
    </w:p>
    <w:p>
      <w:pPr>
        <w:widowControl/>
        <w:snapToGrid w:val="0"/>
        <w:ind w:left="480" w:firstLine="480"/>
        <w:jc w:val="left"/>
        <w:rPr>
          <w:rFonts w:ascii="仿宋" w:hAnsi="仿宋" w:eastAsia="仿宋"/>
          <w:color w:val="000000"/>
          <w:sz w:val="24"/>
        </w:rPr>
      </w:pP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高职毕业生对应的初始岗位：</w:t>
      </w:r>
    </w:p>
    <w:p>
      <w:pPr>
        <w:widowControl/>
        <w:snapToGrid w:val="0"/>
        <w:ind w:left="480" w:firstLine="480"/>
        <w:jc w:val="left"/>
        <w:rPr>
          <w:rFonts w:ascii="仿宋" w:hAnsi="仿宋" w:eastAsia="仿宋"/>
          <w:color w:val="000000"/>
          <w:sz w:val="24"/>
        </w:rPr>
      </w:pPr>
    </w:p>
    <w:p>
      <w:pPr>
        <w:widowControl/>
        <w:snapToGrid w:val="0"/>
        <w:ind w:left="482" w:firstLine="482"/>
        <w:jc w:val="left"/>
        <w:rPr>
          <w:rFonts w:ascii="仿宋" w:hAnsi="仿宋" w:eastAsia="仿宋"/>
          <w:b/>
          <w:color w:val="000000"/>
          <w:sz w:val="24"/>
        </w:rPr>
      </w:pPr>
      <w:r>
        <w:rPr>
          <w:rFonts w:ascii="仿宋" w:hAnsi="仿宋" w:eastAsia="仿宋"/>
          <w:b/>
          <w:color w:val="000000"/>
          <w:sz w:val="24"/>
        </w:rPr>
        <w:t>2.</w:t>
      </w:r>
      <w:r>
        <w:rPr>
          <w:rFonts w:hint="eastAsia" w:ascii="仿宋" w:hAnsi="仿宋" w:eastAsia="仿宋"/>
          <w:b/>
          <w:color w:val="000000"/>
          <w:sz w:val="24"/>
        </w:rPr>
        <w:t>发展岗位（毕业后</w:t>
      </w:r>
      <w:r>
        <w:rPr>
          <w:rFonts w:ascii="仿宋" w:hAnsi="仿宋" w:eastAsia="仿宋"/>
          <w:b/>
          <w:color w:val="000000"/>
          <w:sz w:val="24"/>
        </w:rPr>
        <w:t>3</w:t>
      </w:r>
      <w:r>
        <w:rPr>
          <w:rFonts w:hint="eastAsia" w:ascii="仿宋" w:hAnsi="仿宋" w:eastAsia="仿宋"/>
          <w:b/>
          <w:color w:val="000000"/>
          <w:sz w:val="24"/>
        </w:rPr>
        <w:t>至</w:t>
      </w:r>
      <w:r>
        <w:rPr>
          <w:rFonts w:ascii="仿宋" w:hAnsi="仿宋" w:eastAsia="仿宋"/>
          <w:b/>
          <w:color w:val="000000"/>
          <w:sz w:val="24"/>
        </w:rPr>
        <w:t>5</w:t>
      </w:r>
      <w:r>
        <w:rPr>
          <w:rFonts w:hint="eastAsia" w:ascii="仿宋" w:hAnsi="仿宋" w:eastAsia="仿宋"/>
          <w:b/>
          <w:color w:val="000000"/>
          <w:sz w:val="24"/>
        </w:rPr>
        <w:t>年的主要岗位）</w:t>
      </w:r>
    </w:p>
    <w:p>
      <w:pPr>
        <w:widowControl/>
        <w:snapToGrid w:val="0"/>
        <w:ind w:left="480" w:firstLine="480"/>
        <w:jc w:val="left"/>
        <w:rPr>
          <w:rFonts w:ascii="仿宋" w:hAnsi="仿宋" w:eastAsia="仿宋"/>
          <w:color w:val="000000"/>
          <w:sz w:val="24"/>
        </w:rPr>
      </w:pPr>
    </w:p>
    <w:p>
      <w:pPr>
        <w:widowControl/>
        <w:snapToGrid w:val="0"/>
        <w:ind w:left="482" w:firstLine="482"/>
        <w:jc w:val="left"/>
        <w:rPr>
          <w:rFonts w:ascii="仿宋" w:hAnsi="仿宋" w:eastAsia="仿宋"/>
          <w:b/>
          <w:color w:val="000000"/>
          <w:sz w:val="24"/>
        </w:rPr>
      </w:pPr>
      <w:r>
        <w:rPr>
          <w:rFonts w:hint="eastAsia" w:ascii="仿宋" w:hAnsi="仿宋" w:eastAsia="仿宋"/>
          <w:b/>
          <w:color w:val="000000"/>
          <w:sz w:val="24"/>
        </w:rPr>
        <w:t>㈢职业岗位、工作任务与核心能力</w:t>
      </w:r>
    </w:p>
    <w:tbl>
      <w:tblPr>
        <w:tblStyle w:val="9"/>
        <w:tblW w:w="0" w:type="auto"/>
        <w:tblInd w:w="108" w:type="dxa"/>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1080"/>
        <w:gridCol w:w="1800"/>
        <w:gridCol w:w="2700"/>
        <w:gridCol w:w="3420"/>
      </w:tblGrid>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PrEx>
        <w:trPr>
          <w:trHeight w:val="175" w:hRule="atLeast"/>
          <w:tblHeader/>
        </w:trPr>
        <w:tc>
          <w:tcPr>
            <w:tcW w:w="108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职业岗位</w:t>
            </w:r>
          </w:p>
        </w:tc>
        <w:tc>
          <w:tcPr>
            <w:tcW w:w="18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工作任务</w:t>
            </w:r>
          </w:p>
        </w:tc>
        <w:tc>
          <w:tcPr>
            <w:tcW w:w="27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工作过程简述</w:t>
            </w:r>
          </w:p>
        </w:tc>
        <w:tc>
          <w:tcPr>
            <w:tcW w:w="34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主要核心能力</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trPr>
        <w:tc>
          <w:tcPr>
            <w:tcW w:w="1080"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18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27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34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PrEx>
        <w:trPr>
          <w:trHeight w:val="85" w:hRule="atLeast"/>
        </w:trPr>
        <w:tc>
          <w:tcPr>
            <w:tcW w:w="1080"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18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27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34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PrEx>
        <w:trPr>
          <w:trHeight w:val="85" w:hRule="atLeast"/>
        </w:trPr>
        <w:tc>
          <w:tcPr>
            <w:tcW w:w="1080"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18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27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34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PrEx>
        <w:trPr>
          <w:trHeight w:val="85" w:hRule="atLeast"/>
        </w:trPr>
        <w:tc>
          <w:tcPr>
            <w:tcW w:w="1080"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18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27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34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PrEx>
        <w:trPr>
          <w:trHeight w:val="85" w:hRule="atLeast"/>
        </w:trPr>
        <w:tc>
          <w:tcPr>
            <w:tcW w:w="1080"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18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27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34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PrEx>
        <w:trPr>
          <w:trHeight w:val="85" w:hRule="atLeast"/>
        </w:trPr>
        <w:tc>
          <w:tcPr>
            <w:tcW w:w="1080"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18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27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34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PrEx>
        <w:trPr>
          <w:trHeight w:val="85" w:hRule="atLeast"/>
        </w:trPr>
        <w:tc>
          <w:tcPr>
            <w:tcW w:w="1080"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18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27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34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PrEx>
        <w:trPr>
          <w:trHeight w:val="85" w:hRule="atLeast"/>
        </w:trPr>
        <w:tc>
          <w:tcPr>
            <w:tcW w:w="108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18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27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34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PrEx>
        <w:trPr>
          <w:trHeight w:val="85" w:hRule="atLeast"/>
        </w:trPr>
        <w:tc>
          <w:tcPr>
            <w:tcW w:w="108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18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27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c>
          <w:tcPr>
            <w:tcW w:w="34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Theme="minorEastAsia" w:hAnsiTheme="minorEastAsia" w:eastAsiaTheme="minorEastAsia" w:cstheme="minorEastAsia"/>
                <w:color w:val="000000"/>
                <w:sz w:val="21"/>
                <w:szCs w:val="21"/>
              </w:rPr>
            </w:pPr>
          </w:p>
        </w:tc>
      </w:tr>
    </w:tbl>
    <w:p>
      <w:pPr>
        <w:widowControl/>
        <w:numPr>
          <w:ilvl w:val="-1"/>
          <w:numId w:val="0"/>
        </w:numPr>
        <w:snapToGrid w:val="0"/>
        <w:ind w:firstLine="0"/>
        <w:jc w:val="left"/>
        <w:rPr>
          <w:rFonts w:hint="eastAsia" w:ascii="仿宋" w:hAnsi="仿宋" w:eastAsia="仿宋" w:cs="仿宋"/>
          <w:b/>
          <w:color w:val="000000"/>
          <w:sz w:val="28"/>
        </w:rPr>
      </w:pPr>
      <w:r>
        <w:rPr>
          <w:rFonts w:hint="eastAsia" w:ascii="仿宋" w:hAnsi="仿宋" w:eastAsia="仿宋" w:cs="仿宋"/>
          <w:b/>
          <w:color w:val="000000"/>
          <w:sz w:val="28"/>
          <w:lang w:eastAsia="zh-CN"/>
        </w:rPr>
        <w:t>三、</w:t>
      </w:r>
      <w:r>
        <w:rPr>
          <w:rFonts w:hint="eastAsia" w:ascii="仿宋" w:hAnsi="仿宋" w:eastAsia="仿宋" w:cs="仿宋"/>
          <w:b/>
          <w:color w:val="000000"/>
          <w:sz w:val="28"/>
        </w:rPr>
        <w:t>培养目标与专业人才培养规格</w:t>
      </w:r>
    </w:p>
    <w:p>
      <w:pPr>
        <w:widowControl/>
        <w:snapToGrid w:val="0"/>
        <w:ind w:left="0" w:firstLine="241" w:firstLineChars="100"/>
        <w:jc w:val="left"/>
        <w:rPr>
          <w:rFonts w:ascii="仿宋" w:hAnsi="仿宋" w:eastAsia="仿宋"/>
          <w:b/>
          <w:color w:val="000000"/>
          <w:sz w:val="24"/>
          <w:u w:val="single"/>
        </w:rPr>
      </w:pPr>
      <w:r>
        <w:rPr>
          <w:rFonts w:hint="eastAsia" w:ascii="仿宋" w:hAnsi="仿宋" w:eastAsia="仿宋"/>
          <w:b/>
          <w:color w:val="000000"/>
          <w:sz w:val="24"/>
        </w:rPr>
        <w:t xml:space="preserve"> （一）中职阶段</w:t>
      </w:r>
    </w:p>
    <w:p>
      <w:pPr>
        <w:widowControl/>
        <w:snapToGrid w:val="0"/>
        <w:ind w:left="522" w:firstLine="241" w:firstLineChars="100"/>
        <w:jc w:val="left"/>
        <w:rPr>
          <w:rFonts w:ascii="仿宋" w:hAnsi="仿宋" w:eastAsia="仿宋"/>
          <w:b/>
          <w:color w:val="000000"/>
          <w:sz w:val="24"/>
        </w:rPr>
      </w:pPr>
      <w:r>
        <w:rPr>
          <w:rFonts w:hint="eastAsia" w:ascii="仿宋" w:hAnsi="仿宋" w:eastAsia="仿宋"/>
          <w:b/>
          <w:color w:val="000000"/>
          <w:sz w:val="24"/>
        </w:rPr>
        <w:t>1.培养目标</w:t>
      </w:r>
    </w:p>
    <w:p>
      <w:pPr>
        <w:widowControl/>
        <w:snapToGrid w:val="0"/>
        <w:ind w:firstLine="0"/>
        <w:jc w:val="left"/>
        <w:rPr>
          <w:rFonts w:ascii="仿宋" w:hAnsi="仿宋" w:eastAsia="仿宋"/>
          <w:color w:val="000000"/>
          <w:sz w:val="24"/>
        </w:rPr>
      </w:pPr>
      <w:r>
        <w:rPr>
          <w:rFonts w:hint="eastAsia" w:ascii="仿宋" w:hAnsi="仿宋" w:eastAsia="仿宋"/>
          <w:color w:val="000000"/>
          <w:sz w:val="24"/>
        </w:rPr>
        <w:t>建议：1.基本格式“本专业坚持立德树人，面向XX领域，培养从事XXX等工作，德智体美全面发展的高素质劳动者和技能型人才。”的基本要求并结合专业实际进行明确表述，并具备可操作性和可检测性。</w:t>
      </w:r>
    </w:p>
    <w:p>
      <w:pPr>
        <w:widowControl/>
        <w:snapToGrid w:val="0"/>
        <w:ind w:firstLine="0"/>
        <w:jc w:val="left"/>
        <w:rPr>
          <w:rFonts w:ascii="仿宋" w:hAnsi="仿宋" w:eastAsia="仿宋"/>
          <w:color w:val="000000"/>
          <w:sz w:val="24"/>
        </w:rPr>
      </w:pPr>
      <w:r>
        <w:rPr>
          <w:rFonts w:hint="eastAsia" w:ascii="仿宋" w:hAnsi="仿宋" w:eastAsia="仿宋"/>
          <w:color w:val="000000"/>
          <w:sz w:val="24"/>
        </w:rPr>
        <w:t>2.包含专业定位面向主要职业岗位的描述、人才培养目标对职业核心能力的描述。</w:t>
      </w:r>
    </w:p>
    <w:p>
      <w:pPr>
        <w:widowControl/>
        <w:snapToGrid w:val="0"/>
        <w:ind w:firstLine="0"/>
        <w:jc w:val="left"/>
        <w:rPr>
          <w:rFonts w:ascii="仿宋" w:hAnsi="仿宋" w:eastAsia="仿宋"/>
          <w:color w:val="000000"/>
          <w:sz w:val="24"/>
        </w:rPr>
      </w:pPr>
      <w:r>
        <w:rPr>
          <w:rFonts w:hint="eastAsia" w:ascii="仿宋" w:hAnsi="仿宋" w:eastAsia="仿宋"/>
          <w:color w:val="000000"/>
          <w:sz w:val="24"/>
        </w:rPr>
        <w:t>3.确定专业培养目标是制订人才培养计划的前提条件。培养目标的确定必须以服务为宗旨，以就业为导向；结合区域经济和行业特点对人才的需求，同时应努力体现自己的办学特色。</w:t>
      </w:r>
    </w:p>
    <w:p>
      <w:pPr>
        <w:widowControl/>
        <w:snapToGrid w:val="0"/>
        <w:ind w:left="482" w:firstLine="482"/>
        <w:jc w:val="left"/>
        <w:rPr>
          <w:rFonts w:ascii="仿宋" w:hAnsi="仿宋" w:eastAsia="仿宋"/>
          <w:b/>
          <w:color w:val="000000"/>
          <w:sz w:val="24"/>
        </w:rPr>
      </w:pPr>
      <w:r>
        <w:rPr>
          <w:rFonts w:hint="eastAsia" w:ascii="仿宋" w:hAnsi="仿宋" w:eastAsia="仿宋"/>
          <w:b/>
          <w:color w:val="000000"/>
          <w:sz w:val="24"/>
        </w:rPr>
        <w:t>2.专业人才培养规格</w:t>
      </w:r>
    </w:p>
    <w:p>
      <w:pPr>
        <w:snapToGrid w:val="0"/>
        <w:ind w:left="420" w:firstLine="420"/>
        <w:rPr>
          <w:color w:val="000000"/>
          <w:sz w:val="24"/>
        </w:rPr>
      </w:pPr>
      <w:r>
        <w:rPr>
          <w:rFonts w:hint="eastAsia"/>
          <w:color w:val="000000"/>
          <w:sz w:val="24"/>
        </w:rPr>
        <w:t>本专业毕业生应具有以下职业素养、专业知识和技能：</w:t>
      </w:r>
    </w:p>
    <w:p>
      <w:pPr>
        <w:widowControl/>
        <w:snapToGrid w:val="0"/>
        <w:ind w:firstLine="0"/>
        <w:jc w:val="left"/>
        <w:rPr>
          <w:rFonts w:ascii="仿宋" w:hAnsi="仿宋" w:eastAsia="仿宋"/>
          <w:b/>
          <w:color w:val="000000"/>
          <w:sz w:val="24"/>
        </w:rPr>
      </w:pPr>
    </w:p>
    <w:p>
      <w:pPr>
        <w:widowControl/>
        <w:snapToGrid w:val="0"/>
        <w:ind w:firstLine="0"/>
        <w:jc w:val="left"/>
        <w:rPr>
          <w:rFonts w:ascii="仿宋" w:hAnsi="仿宋" w:eastAsia="仿宋"/>
          <w:color w:val="000000"/>
          <w:sz w:val="24"/>
        </w:rPr>
      </w:pPr>
      <w:r>
        <w:rPr>
          <w:rFonts w:hint="eastAsia" w:ascii="仿宋" w:hAnsi="仿宋" w:eastAsia="仿宋"/>
          <w:color w:val="000000"/>
          <w:sz w:val="24"/>
        </w:rPr>
        <w:t>建议：依照中职专业教学标准描述毕业生应具备的职业素养、专业知识、技能等描述。</w:t>
      </w:r>
    </w:p>
    <w:p>
      <w:pPr>
        <w:widowControl/>
        <w:snapToGrid w:val="0"/>
        <w:ind w:left="482" w:firstLine="482"/>
        <w:jc w:val="left"/>
        <w:rPr>
          <w:rFonts w:ascii="仿宋" w:hAnsi="仿宋" w:eastAsia="仿宋"/>
          <w:b/>
          <w:color w:val="000000"/>
          <w:sz w:val="24"/>
          <w:szCs w:val="22"/>
        </w:rPr>
      </w:pPr>
      <w:r>
        <w:rPr>
          <w:rFonts w:hint="eastAsia" w:ascii="仿宋" w:hAnsi="仿宋" w:eastAsia="仿宋"/>
          <w:b/>
          <w:color w:val="000000"/>
          <w:sz w:val="24"/>
          <w:szCs w:val="22"/>
        </w:rPr>
        <w:t>（1）职业素养</w:t>
      </w:r>
    </w:p>
    <w:p>
      <w:pPr>
        <w:widowControl/>
        <w:snapToGrid w:val="0"/>
        <w:ind w:left="482" w:firstLine="482"/>
        <w:jc w:val="left"/>
        <w:rPr>
          <w:rFonts w:ascii="仿宋" w:hAnsi="仿宋" w:eastAsia="仿宋"/>
          <w:b/>
          <w:color w:val="000000"/>
          <w:sz w:val="24"/>
          <w:szCs w:val="22"/>
        </w:rPr>
      </w:pPr>
      <w:r>
        <w:rPr>
          <w:rFonts w:hint="eastAsia" w:ascii="仿宋" w:hAnsi="仿宋" w:eastAsia="仿宋"/>
          <w:b/>
          <w:color w:val="000000"/>
          <w:sz w:val="24"/>
          <w:szCs w:val="22"/>
        </w:rPr>
        <w:t>（2）专业知识</w:t>
      </w:r>
    </w:p>
    <w:p>
      <w:pPr>
        <w:widowControl/>
        <w:snapToGrid w:val="0"/>
        <w:ind w:left="482" w:firstLine="482"/>
        <w:jc w:val="left"/>
        <w:rPr>
          <w:rFonts w:ascii="仿宋" w:hAnsi="仿宋" w:eastAsia="仿宋"/>
          <w:b/>
          <w:color w:val="000000"/>
          <w:sz w:val="24"/>
          <w:szCs w:val="22"/>
        </w:rPr>
      </w:pPr>
      <w:r>
        <w:rPr>
          <w:rFonts w:hint="eastAsia" w:ascii="仿宋" w:hAnsi="仿宋" w:eastAsia="仿宋"/>
          <w:b/>
          <w:color w:val="000000"/>
          <w:sz w:val="24"/>
          <w:szCs w:val="22"/>
        </w:rPr>
        <w:t>（3）技能</w:t>
      </w:r>
    </w:p>
    <w:p>
      <w:pPr>
        <w:widowControl/>
        <w:snapToGrid w:val="0"/>
        <w:ind w:left="482" w:firstLine="482"/>
        <w:jc w:val="left"/>
        <w:rPr>
          <w:rFonts w:ascii="仿宋" w:hAnsi="仿宋" w:eastAsia="仿宋"/>
          <w:b/>
          <w:color w:val="000000"/>
          <w:sz w:val="24"/>
          <w:szCs w:val="22"/>
        </w:rPr>
      </w:pPr>
      <w:r>
        <w:rPr>
          <w:rFonts w:hint="eastAsia" w:ascii="仿宋" w:hAnsi="仿宋" w:eastAsia="仿宋"/>
          <w:b/>
          <w:color w:val="000000"/>
          <w:sz w:val="24"/>
          <w:szCs w:val="22"/>
        </w:rPr>
        <w:t>（4）职业资格证书与课程证书</w:t>
      </w:r>
    </w:p>
    <w:p>
      <w:pPr>
        <w:widowControl/>
        <w:snapToGrid w:val="0"/>
        <w:ind w:firstLine="0"/>
        <w:jc w:val="left"/>
        <w:rPr>
          <w:rFonts w:ascii="仿宋" w:hAnsi="仿宋" w:eastAsia="仿宋"/>
          <w:b/>
          <w:color w:val="000000"/>
          <w:sz w:val="24"/>
        </w:rPr>
      </w:pPr>
    </w:p>
    <w:p>
      <w:pPr>
        <w:widowControl/>
        <w:snapToGrid w:val="0"/>
        <w:ind w:left="482" w:firstLine="482"/>
        <w:jc w:val="left"/>
        <w:rPr>
          <w:rFonts w:ascii="仿宋" w:hAnsi="仿宋" w:eastAsia="仿宋"/>
          <w:b/>
          <w:color w:val="000000"/>
          <w:sz w:val="24"/>
        </w:rPr>
      </w:pPr>
      <w:r>
        <w:rPr>
          <w:rFonts w:hint="eastAsia" w:ascii="仿宋" w:hAnsi="仿宋" w:eastAsia="仿宋"/>
          <w:b/>
          <w:color w:val="000000"/>
          <w:sz w:val="24"/>
        </w:rPr>
        <w:t>(二）高职阶段</w:t>
      </w:r>
    </w:p>
    <w:p>
      <w:pPr>
        <w:widowControl/>
        <w:snapToGrid w:val="0"/>
        <w:ind w:left="482" w:firstLine="482"/>
        <w:jc w:val="left"/>
        <w:rPr>
          <w:rFonts w:ascii="仿宋" w:hAnsi="仿宋" w:eastAsia="仿宋"/>
          <w:b/>
          <w:color w:val="000000"/>
          <w:sz w:val="24"/>
        </w:rPr>
      </w:pPr>
      <w:r>
        <w:rPr>
          <w:rFonts w:hint="eastAsia" w:ascii="仿宋" w:hAnsi="仿宋" w:eastAsia="仿宋"/>
          <w:b/>
          <w:color w:val="000000"/>
          <w:sz w:val="24"/>
        </w:rPr>
        <w:t>1.培养目标</w:t>
      </w:r>
    </w:p>
    <w:p>
      <w:pPr>
        <w:pStyle w:val="4"/>
        <w:rPr>
          <w:rFonts w:hint="eastAsia" w:ascii="仿宋" w:hAnsi="仿宋" w:eastAsia="仿宋"/>
          <w:color w:val="000000"/>
          <w:sz w:val="24"/>
        </w:rPr>
      </w:pPr>
    </w:p>
    <w:p>
      <w:pPr>
        <w:pStyle w:val="4"/>
        <w:spacing w:line="240" w:lineRule="auto"/>
        <w:ind w:left="480" w:leftChars="240" w:firstLine="240" w:firstLineChars="100"/>
        <w:rPr>
          <w:rFonts w:hint="eastAsia" w:ascii="仿宋" w:hAnsi="仿宋" w:eastAsia="仿宋"/>
          <w:color w:val="000000" w:themeColor="text1"/>
          <w:sz w:val="24"/>
        </w:rPr>
      </w:pPr>
      <w:r>
        <w:rPr>
          <w:rFonts w:hint="eastAsia" w:ascii="仿宋" w:hAnsi="仿宋" w:eastAsia="仿宋"/>
          <w:color w:val="000000"/>
          <w:sz w:val="24"/>
        </w:rPr>
        <w:t>建议：</w:t>
      </w:r>
      <w:r>
        <w:rPr>
          <w:rFonts w:ascii="仿宋" w:hAnsi="仿宋" w:eastAsia="仿宋"/>
          <w:color w:val="000000"/>
          <w:sz w:val="24"/>
        </w:rPr>
        <w:t>1.</w:t>
      </w:r>
      <w:r>
        <w:rPr>
          <w:rFonts w:hint="eastAsia" w:ascii="仿宋" w:hAnsi="仿宋" w:eastAsia="仿宋"/>
          <w:color w:val="000000"/>
          <w:sz w:val="24"/>
        </w:rPr>
        <w:t>基本格式“</w:t>
      </w:r>
      <w:r>
        <w:rPr>
          <w:rFonts w:hint="eastAsia" w:ascii="仿宋" w:hAnsi="仿宋" w:eastAsia="仿宋" w:cs="Times New Roman"/>
          <w:color w:val="000000" w:themeColor="text1"/>
          <w:sz w:val="24"/>
          <w:szCs w:val="20"/>
        </w:rPr>
        <w:t>本专业以习近平新时代中国特色社会主义思想为指导，落实立德树人根本任务，培养德智体美劳全面发展的社会主义建设者和接班人。培养思想政治坚定、德技并修、全面发展，适应...需要，具有一定的科学文化水平、良好的职业道德和工匠精神、较强的就业创业能力，掌握本专业的基本知识和主要技术技能，面向...企业及...相关企事业单位，能够从事.....等工作，服务区域发展的高素质技术技能人才。</w:t>
      </w: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”的基本要求并结合专业实际进行明确表述，并具备可操作性和可检测性。</w:t>
      </w:r>
    </w:p>
    <w:p>
      <w:pPr>
        <w:widowControl/>
        <w:snapToGrid w:val="0"/>
        <w:ind w:left="480" w:firstLine="480"/>
        <w:jc w:val="left"/>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包含专业定位面向主要职业岗位的描述、人才培养目标对职业核心能力的描述。</w:t>
      </w:r>
    </w:p>
    <w:p>
      <w:pPr>
        <w:widowControl/>
        <w:snapToGrid w:val="0"/>
        <w:ind w:left="480" w:firstLine="480"/>
        <w:jc w:val="left"/>
        <w:rPr>
          <w:color w:val="000000"/>
          <w:sz w:val="24"/>
        </w:rPr>
      </w:pPr>
      <w:r>
        <w:rPr>
          <w:rFonts w:ascii="仿宋" w:hAnsi="仿宋" w:eastAsia="仿宋"/>
          <w:color w:val="000000"/>
          <w:sz w:val="24"/>
        </w:rPr>
        <w:t>3.</w:t>
      </w:r>
      <w:r>
        <w:rPr>
          <w:rFonts w:hint="eastAsia" w:ascii="仿宋" w:hAnsi="仿宋" w:eastAsia="仿宋"/>
          <w:color w:val="000000"/>
          <w:sz w:val="24"/>
        </w:rPr>
        <w:t>确定专业培养目标是制订人才培养计划的前提条件。培养目标的确定必须以服务为宗旨，以就业为导向；结合区域经济和行业特点对人才的需求，同时应努力体现自己的办学特色。</w:t>
      </w:r>
    </w:p>
    <w:p>
      <w:pPr>
        <w:widowControl/>
        <w:snapToGrid w:val="0"/>
        <w:ind w:left="480" w:firstLine="480"/>
        <w:jc w:val="left"/>
        <w:rPr>
          <w:rFonts w:ascii="仿宋" w:hAnsi="仿宋" w:eastAsia="仿宋"/>
          <w:color w:val="000000"/>
          <w:sz w:val="24"/>
        </w:rPr>
      </w:pPr>
    </w:p>
    <w:p>
      <w:pPr>
        <w:widowControl/>
        <w:snapToGrid w:val="0"/>
        <w:ind w:left="482" w:firstLine="482"/>
        <w:jc w:val="left"/>
        <w:rPr>
          <w:rFonts w:ascii="仿宋" w:hAnsi="仿宋" w:eastAsia="仿宋"/>
          <w:b/>
          <w:color w:val="000000"/>
          <w:sz w:val="24"/>
        </w:rPr>
      </w:pPr>
      <w:r>
        <w:rPr>
          <w:rFonts w:hint="eastAsia" w:ascii="仿宋" w:hAnsi="仿宋" w:eastAsia="仿宋"/>
          <w:b/>
          <w:color w:val="000000"/>
          <w:sz w:val="24"/>
        </w:rPr>
        <w:t>2.专业人才培养规格</w:t>
      </w: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建议：依照毕业生应具备的基本素质、知识要求、能力要求、职业态度要求等描述。</w:t>
      </w: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在素质方面，对照以下总体要求，并结合专业特点研究确定。在知识、能力方面，对应人才培养目标，对照有关课程标准、专业教学标准和通过企业调研、职业能力分析提出的有关具体要求，研究确定并分条目列举。</w:t>
      </w:r>
    </w:p>
    <w:p>
      <w:pPr>
        <w:widowControl/>
        <w:snapToGrid w:val="0"/>
        <w:ind w:left="482" w:firstLine="482"/>
        <w:jc w:val="left"/>
        <w:rPr>
          <w:rFonts w:ascii="仿宋" w:hAnsi="仿宋" w:eastAsia="仿宋"/>
          <w:b/>
          <w:color w:val="000000"/>
          <w:sz w:val="24"/>
        </w:rPr>
      </w:pPr>
      <w:r>
        <w:rPr>
          <w:rFonts w:hint="eastAsia" w:ascii="仿宋" w:hAnsi="仿宋" w:eastAsia="仿宋"/>
          <w:b/>
          <w:color w:val="000000"/>
          <w:sz w:val="24"/>
        </w:rPr>
        <w:t>（1）素质要求</w:t>
      </w: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基本内容：</w:t>
      </w: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具有正确的世界观、人生观、价值观。坚决拥护中国共产党领导，树立中国特色社会主义共同理想，践行社会主义核心价值观，具有深厚的爱国情感、国家认同感、中华民族自豪感；崇尚宪法、遵守法律、遵规守纪；具有社会责任感和参与意识。</w:t>
      </w: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具有良好的职业道德和职业素养。崇德向善、诚实守信、爱岗敬业，具有精益求精的工匠精神；尊重劳动、热爱劳动，具有较强的实践能力；具有质量意识、绿色环保意识、安全意识、信息素养、创新精神；具有较强的集体意识和团队合作精神，能够进行有效的人际沟通和协作，与社会、自然和谐共处；具有职业生涯规划意识。</w:t>
      </w:r>
    </w:p>
    <w:p>
      <w:pPr>
        <w:widowControl/>
        <w:snapToGrid w:val="0"/>
        <w:ind w:left="480" w:firstLine="480"/>
        <w:jc w:val="left"/>
        <w:rPr>
          <w:rFonts w:ascii="仿宋" w:hAnsi="仿宋" w:eastAsia="仿宋"/>
          <w:b/>
          <w:color w:val="000000"/>
          <w:sz w:val="24"/>
        </w:rPr>
      </w:pPr>
      <w:r>
        <w:rPr>
          <w:rFonts w:hint="eastAsia" w:ascii="仿宋" w:hAnsi="仿宋" w:eastAsia="仿宋"/>
          <w:color w:val="000000"/>
          <w:sz w:val="24"/>
        </w:rPr>
        <w:t>具有良好的身心素质和人文素养。具有健康的体魄和心理、健全的人格，能够掌握基本运动知识和一两项运动技能；具有感受美、表现美、鉴赏美、创造美的能力，具有一定的审美和人文素养，能够形成一两项艺术特长或爱好；掌握一定的学习方法，具有良好的生活习惯、行为习惯和自我管理能力。</w:t>
      </w:r>
    </w:p>
    <w:p>
      <w:pPr>
        <w:widowControl/>
        <w:snapToGrid w:val="0"/>
        <w:ind w:left="482" w:firstLine="482"/>
        <w:jc w:val="left"/>
        <w:rPr>
          <w:rFonts w:ascii="仿宋" w:hAnsi="仿宋" w:eastAsia="仿宋"/>
          <w:b/>
          <w:color w:val="000000"/>
          <w:sz w:val="24"/>
        </w:rPr>
      </w:pPr>
      <w:r>
        <w:rPr>
          <w:rFonts w:hint="eastAsia" w:ascii="仿宋" w:hAnsi="仿宋" w:eastAsia="仿宋"/>
          <w:b/>
          <w:color w:val="000000"/>
          <w:sz w:val="24"/>
        </w:rPr>
        <w:t>（2）知识要求</w:t>
      </w: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要求：包括对公共基础知识和专业知识等的培养规格要求。</w:t>
      </w:r>
    </w:p>
    <w:p>
      <w:pPr>
        <w:widowControl/>
        <w:snapToGrid w:val="0"/>
        <w:ind w:left="482" w:firstLine="482"/>
        <w:jc w:val="left"/>
        <w:rPr>
          <w:rFonts w:ascii="仿宋" w:hAnsi="仿宋" w:eastAsia="仿宋"/>
          <w:b/>
          <w:color w:val="000000"/>
          <w:sz w:val="24"/>
        </w:rPr>
      </w:pPr>
      <w:r>
        <w:rPr>
          <w:rFonts w:hint="eastAsia" w:ascii="仿宋" w:hAnsi="仿宋" w:eastAsia="仿宋"/>
          <w:b/>
          <w:color w:val="000000"/>
          <w:sz w:val="24"/>
        </w:rPr>
        <w:t>公共基础知识的培养规格要求：</w:t>
      </w:r>
    </w:p>
    <w:p>
      <w:pPr>
        <w:widowControl/>
        <w:numPr>
          <w:ilvl w:val="255"/>
          <w:numId w:val="0"/>
        </w:numPr>
        <w:adjustRightInd w:val="0"/>
        <w:snapToGrid w:val="0"/>
        <w:spacing w:line="300" w:lineRule="auto"/>
        <w:ind w:firstLine="480" w:firstLineChars="200"/>
        <w:jc w:val="left"/>
        <w:rPr>
          <w:rFonts w:ascii="仿宋" w:hAnsi="仿宋" w:eastAsia="仿宋"/>
          <w:color w:val="000000"/>
          <w:sz w:val="24"/>
        </w:rPr>
      </w:pPr>
      <w:r>
        <w:rPr>
          <w:rFonts w:hint="eastAsia" w:ascii="仿宋" w:hAnsi="仿宋" w:eastAsia="仿宋"/>
          <w:color w:val="000000"/>
          <w:sz w:val="24"/>
        </w:rPr>
        <w:t>①具备良好的职业道德和操守，了解所要从事行业的基本工作内容及相关法律法规。</w:t>
      </w:r>
    </w:p>
    <w:p>
      <w:pPr>
        <w:widowControl/>
        <w:adjustRightInd w:val="0"/>
        <w:snapToGrid w:val="0"/>
        <w:spacing w:line="300" w:lineRule="auto"/>
        <w:ind w:firstLine="480" w:firstLineChars="200"/>
        <w:jc w:val="left"/>
        <w:rPr>
          <w:rFonts w:ascii="仿宋" w:hAnsi="仿宋" w:eastAsia="仿宋"/>
          <w:color w:val="000000"/>
          <w:sz w:val="24"/>
        </w:rPr>
      </w:pPr>
      <w:r>
        <w:rPr>
          <w:rFonts w:hint="eastAsia" w:ascii="仿宋" w:hAnsi="仿宋" w:eastAsia="仿宋"/>
          <w:color w:val="000000"/>
          <w:sz w:val="24"/>
        </w:rPr>
        <w:t>②具备良好的创新精神和创业意识，了解创业基本流程，掌握基本的创新思维和创新技法。</w:t>
      </w:r>
    </w:p>
    <w:p>
      <w:pPr>
        <w:widowControl/>
        <w:adjustRightInd w:val="0"/>
        <w:snapToGrid w:val="0"/>
        <w:spacing w:line="300" w:lineRule="auto"/>
        <w:ind w:firstLine="480" w:firstLineChars="200"/>
        <w:jc w:val="left"/>
        <w:rPr>
          <w:rFonts w:ascii="仿宋" w:hAnsi="仿宋" w:eastAsia="仿宋"/>
          <w:color w:val="000000"/>
          <w:sz w:val="24"/>
        </w:rPr>
      </w:pPr>
      <w:r>
        <w:rPr>
          <w:rFonts w:hint="eastAsia" w:ascii="仿宋" w:hAnsi="仿宋" w:eastAsia="仿宋"/>
          <w:color w:val="000000"/>
          <w:sz w:val="24"/>
        </w:rPr>
        <w:t>③具备良好的自我规划意识和自我管理能力，掌握自我探索和工作世界探索的方法。</w:t>
      </w:r>
    </w:p>
    <w:p>
      <w:pPr>
        <w:widowControl/>
        <w:adjustRightInd w:val="0"/>
        <w:snapToGrid w:val="0"/>
        <w:spacing w:line="300" w:lineRule="auto"/>
        <w:ind w:firstLine="480" w:firstLineChars="200"/>
        <w:jc w:val="left"/>
        <w:rPr>
          <w:rFonts w:ascii="仿宋" w:hAnsi="仿宋" w:eastAsia="仿宋"/>
          <w:color w:val="000000" w:themeColor="text1"/>
          <w:sz w:val="24"/>
        </w:rPr>
      </w:pPr>
      <w:r>
        <w:rPr>
          <w:rFonts w:hint="eastAsia" w:ascii="仿宋" w:hAnsi="仿宋" w:eastAsia="仿宋"/>
          <w:color w:val="000000" w:themeColor="text1"/>
          <w:sz w:val="24"/>
        </w:rPr>
        <w:t>④具备良好的语言文字应用能力，了解中华优秀文化，掌握常用应用文的写作方法。</w:t>
      </w:r>
    </w:p>
    <w:p>
      <w:pPr>
        <w:widowControl/>
        <w:adjustRightInd w:val="0"/>
        <w:snapToGrid w:val="0"/>
        <w:spacing w:line="300" w:lineRule="auto"/>
        <w:ind w:firstLine="480" w:firstLineChars="200"/>
        <w:jc w:val="left"/>
        <w:rPr>
          <w:rFonts w:ascii="仿宋" w:hAnsi="仿宋" w:eastAsia="仿宋"/>
          <w:color w:val="000000" w:themeColor="text1"/>
          <w:sz w:val="24"/>
        </w:rPr>
      </w:pPr>
      <w:r>
        <w:rPr>
          <w:rFonts w:hint="eastAsia" w:ascii="仿宋" w:hAnsi="仿宋" w:eastAsia="仿宋"/>
          <w:color w:val="000000" w:themeColor="text1"/>
          <w:sz w:val="24"/>
        </w:rPr>
        <w:t>⑤掌握一定的英语基础知识，在听、说、读、写、译中能正确运用所学语法知识。</w:t>
      </w:r>
    </w:p>
    <w:p>
      <w:pPr>
        <w:widowControl/>
        <w:adjustRightInd w:val="0"/>
        <w:snapToGrid w:val="0"/>
        <w:spacing w:line="300" w:lineRule="auto"/>
        <w:ind w:firstLine="480" w:firstLineChars="200"/>
        <w:jc w:val="left"/>
        <w:rPr>
          <w:rFonts w:ascii="仿宋" w:hAnsi="仿宋" w:eastAsia="仿宋"/>
          <w:color w:val="000000" w:themeColor="text1"/>
          <w:sz w:val="24"/>
        </w:rPr>
      </w:pPr>
      <w:r>
        <w:rPr>
          <w:rFonts w:hint="eastAsia" w:ascii="仿宋" w:hAnsi="仿宋" w:eastAsia="仿宋"/>
          <w:color w:val="000000" w:themeColor="text1"/>
          <w:sz w:val="24"/>
        </w:rPr>
        <w:t>⑥掌握体育与健康必备的理论与实践的知识与技能；领会体育精神与体育文化；具备运动安全和健康养护知识。</w:t>
      </w:r>
    </w:p>
    <w:p>
      <w:pPr>
        <w:widowControl/>
        <w:adjustRightInd w:val="0"/>
        <w:snapToGrid w:val="0"/>
        <w:spacing w:line="300" w:lineRule="auto"/>
        <w:ind w:firstLine="480" w:firstLineChars="200"/>
        <w:jc w:val="left"/>
        <w:rPr>
          <w:rFonts w:ascii="仿宋" w:hAnsi="仿宋" w:eastAsia="仿宋"/>
          <w:color w:val="000000" w:themeColor="text1"/>
          <w:sz w:val="24"/>
        </w:rPr>
      </w:pPr>
      <w:r>
        <w:rPr>
          <w:rFonts w:hint="eastAsia" w:ascii="仿宋" w:hAnsi="仿宋" w:eastAsia="仿宋"/>
          <w:color w:val="000000" w:themeColor="text1"/>
          <w:sz w:val="24"/>
        </w:rPr>
        <w:t>⑦具备良好的礼仪素养，养成良好的礼仪习惯；掌握社交的基本技巧。</w:t>
      </w:r>
    </w:p>
    <w:p>
      <w:pPr>
        <w:widowControl/>
        <w:adjustRightInd w:val="0"/>
        <w:snapToGrid w:val="0"/>
        <w:spacing w:line="300" w:lineRule="auto"/>
        <w:ind w:firstLine="480" w:firstLineChars="200"/>
        <w:jc w:val="left"/>
        <w:rPr>
          <w:rFonts w:ascii="仿宋" w:hAnsi="仿宋" w:eastAsia="仿宋"/>
          <w:color w:val="000000"/>
          <w:sz w:val="24"/>
        </w:rPr>
      </w:pPr>
      <w:r>
        <w:rPr>
          <w:rFonts w:hint="eastAsia" w:ascii="仿宋" w:hAnsi="仿宋" w:eastAsia="仿宋"/>
          <w:color w:val="000000"/>
          <w:sz w:val="24"/>
        </w:rPr>
        <w:t>⑧了解心理学的有关理论和基本概念，明确心理健康的标准及意义，了解大学阶段人的心理发展特征及异常表现，掌握自我调适的基本知识。</w:t>
      </w:r>
    </w:p>
    <w:p>
      <w:pPr>
        <w:widowControl/>
        <w:snapToGrid w:val="0"/>
        <w:ind w:left="480" w:firstLine="480"/>
        <w:jc w:val="left"/>
        <w:rPr>
          <w:rFonts w:ascii="仿宋" w:hAnsi="仿宋" w:eastAsia="仿宋"/>
          <w:color w:val="000000"/>
          <w:sz w:val="24"/>
        </w:rPr>
      </w:pPr>
    </w:p>
    <w:p>
      <w:pPr>
        <w:widowControl/>
        <w:snapToGrid w:val="0"/>
        <w:ind w:firstLine="482" w:firstLineChars="200"/>
        <w:jc w:val="left"/>
        <w:rPr>
          <w:rFonts w:ascii="仿宋" w:hAnsi="仿宋" w:eastAsia="仿宋"/>
          <w:b/>
          <w:color w:val="000000"/>
          <w:sz w:val="24"/>
        </w:rPr>
      </w:pPr>
      <w:r>
        <w:rPr>
          <w:rFonts w:hint="eastAsia" w:ascii="仿宋" w:hAnsi="仿宋" w:eastAsia="仿宋"/>
          <w:b/>
          <w:color w:val="000000"/>
          <w:sz w:val="24"/>
        </w:rPr>
        <w:t>专业知识等的培养规格要求：（各专业具体填写）</w:t>
      </w:r>
    </w:p>
    <w:p>
      <w:pPr>
        <w:snapToGrid w:val="0"/>
        <w:spacing w:after="120"/>
        <w:ind w:firstLine="0"/>
        <w:rPr>
          <w:rFonts w:ascii="Calibri" w:hAnsi="Calibri"/>
          <w:color w:val="000000"/>
          <w:sz w:val="21"/>
        </w:rPr>
      </w:pPr>
    </w:p>
    <w:p>
      <w:pPr>
        <w:widowControl/>
        <w:snapToGrid w:val="0"/>
        <w:ind w:left="482" w:firstLine="482"/>
        <w:jc w:val="left"/>
        <w:rPr>
          <w:rFonts w:ascii="仿宋" w:hAnsi="仿宋" w:eastAsia="仿宋"/>
          <w:b/>
          <w:color w:val="000000"/>
          <w:sz w:val="24"/>
        </w:rPr>
      </w:pPr>
      <w:r>
        <w:rPr>
          <w:rFonts w:hint="eastAsia" w:ascii="仿宋" w:hAnsi="仿宋" w:eastAsia="仿宋"/>
          <w:b/>
          <w:color w:val="000000"/>
          <w:sz w:val="24"/>
        </w:rPr>
        <w:t>（3）能力要求</w:t>
      </w: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要求：包括对通用能力和专业技术技能等的培养规格要求。</w:t>
      </w: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其中通用能力一般包括口语和书面表达能力，解决实际问题的能力，终身学习能力，信息技术应用能力，独立思考、逻辑推理、信息加工能力等。例如</w:t>
      </w:r>
      <w:r>
        <w:rPr>
          <w:rFonts w:ascii="仿宋" w:hAnsi="仿宋" w:eastAsia="仿宋"/>
          <w:color w:val="000000"/>
          <w:sz w:val="24"/>
        </w:rPr>
        <w:t>:1.</w:t>
      </w:r>
      <w:r>
        <w:rPr>
          <w:rFonts w:hint="eastAsia" w:ascii="仿宋" w:hAnsi="仿宋" w:eastAsia="仿宋"/>
          <w:color w:val="000000"/>
          <w:sz w:val="24"/>
        </w:rPr>
        <w:t>具有能操作计算机及办公软件、利用计算机进行综合信息查询和处理的能力；具有分析解决问题的能力；具有创新创业能力、沟通表达能力和团队合作能力。</w:t>
      </w:r>
      <w:r>
        <w:rPr>
          <w:rFonts w:ascii="仿宋" w:hAnsi="仿宋" w:eastAsia="仿宋"/>
          <w:color w:val="000000"/>
          <w:sz w:val="24"/>
        </w:rPr>
        <w:t>2.</w:t>
      </w:r>
      <w:r>
        <w:rPr>
          <w:rFonts w:hint="eastAsia" w:ascii="仿宋" w:hAnsi="仿宋" w:eastAsia="仿宋"/>
          <w:color w:val="000000"/>
          <w:sz w:val="24"/>
        </w:rPr>
        <w:t>具备终身学习能力，为未来的职业岗位晋升打下基础。</w:t>
      </w:r>
    </w:p>
    <w:p>
      <w:pPr>
        <w:widowControl/>
        <w:snapToGrid w:val="0"/>
        <w:ind w:left="480" w:firstLine="480"/>
        <w:jc w:val="left"/>
        <w:rPr>
          <w:rFonts w:ascii="仿宋" w:hAnsi="仿宋" w:eastAsia="仿宋"/>
          <w:b/>
          <w:color w:val="000000"/>
          <w:sz w:val="24"/>
        </w:rPr>
      </w:pPr>
      <w:r>
        <w:rPr>
          <w:rFonts w:hint="eastAsia" w:ascii="仿宋" w:hAnsi="仿宋" w:eastAsia="仿宋"/>
          <w:b/>
          <w:color w:val="000000"/>
          <w:sz w:val="24"/>
        </w:rPr>
        <w:t>通用能力的培养规格要求：</w:t>
      </w:r>
    </w:p>
    <w:p>
      <w:pPr>
        <w:widowControl/>
        <w:snapToGrid w:val="0"/>
        <w:ind w:left="480" w:firstLine="480"/>
        <w:jc w:val="left"/>
        <w:rPr>
          <w:rFonts w:ascii="仿宋" w:hAnsi="仿宋" w:eastAsia="仿宋"/>
          <w:color w:val="000000"/>
          <w:sz w:val="24"/>
          <w:szCs w:val="22"/>
        </w:rPr>
      </w:pPr>
      <w:r>
        <w:rPr>
          <w:rFonts w:hint="eastAsia" w:ascii="仿宋" w:hAnsi="仿宋" w:eastAsia="仿宋"/>
          <w:color w:val="000000"/>
          <w:sz w:val="24"/>
          <w:szCs w:val="22"/>
        </w:rPr>
        <w:t>①具有正确运用思想政治教育的原理和方法解决工作和生活中实际问题的能力。</w:t>
      </w:r>
    </w:p>
    <w:p>
      <w:pPr>
        <w:widowControl/>
        <w:snapToGrid w:val="0"/>
        <w:ind w:left="480" w:firstLine="480"/>
        <w:jc w:val="left"/>
        <w:rPr>
          <w:rFonts w:ascii="仿宋" w:hAnsi="仿宋" w:eastAsia="仿宋"/>
          <w:color w:val="000000"/>
          <w:sz w:val="24"/>
          <w:szCs w:val="22"/>
        </w:rPr>
      </w:pPr>
      <w:r>
        <w:rPr>
          <w:rFonts w:hint="eastAsia" w:ascii="仿宋" w:hAnsi="仿宋" w:eastAsia="仿宋"/>
          <w:color w:val="000000"/>
          <w:sz w:val="24"/>
          <w:szCs w:val="22"/>
        </w:rPr>
        <w:t>②具有运用创新思维和创新技法解决工作和生活中实际问题的能力。</w:t>
      </w:r>
    </w:p>
    <w:p>
      <w:pPr>
        <w:widowControl/>
        <w:snapToGrid w:val="0"/>
        <w:ind w:left="480" w:firstLine="480"/>
        <w:jc w:val="left"/>
        <w:rPr>
          <w:rFonts w:ascii="仿宋" w:hAnsi="仿宋" w:eastAsia="仿宋"/>
          <w:color w:val="000000" w:themeColor="text1"/>
          <w:sz w:val="24"/>
          <w:szCs w:val="22"/>
        </w:rPr>
      </w:pPr>
      <w:r>
        <w:rPr>
          <w:rFonts w:hint="eastAsia" w:ascii="仿宋" w:hAnsi="仿宋" w:eastAsia="仿宋"/>
          <w:color w:val="000000" w:themeColor="text1"/>
          <w:sz w:val="24"/>
          <w:szCs w:val="22"/>
        </w:rPr>
        <w:t>③具有运用生涯理论和方法开展生涯规划与管理的能力。</w:t>
      </w:r>
    </w:p>
    <w:p>
      <w:pPr>
        <w:widowControl/>
        <w:snapToGrid w:val="0"/>
        <w:ind w:left="480" w:firstLine="480"/>
        <w:jc w:val="left"/>
        <w:rPr>
          <w:rFonts w:ascii="仿宋" w:hAnsi="仿宋" w:eastAsia="仿宋"/>
          <w:color w:val="000000" w:themeColor="text1"/>
          <w:sz w:val="24"/>
          <w:szCs w:val="22"/>
        </w:rPr>
      </w:pPr>
      <w:r>
        <w:rPr>
          <w:rFonts w:hint="eastAsia" w:ascii="仿宋" w:hAnsi="仿宋" w:eastAsia="仿宋"/>
          <w:color w:val="000000" w:themeColor="text1"/>
          <w:sz w:val="24"/>
          <w:szCs w:val="22"/>
        </w:rPr>
        <w:t>④具有正确地运用应用文写作方法解决工作和生活的实际问题的能力。</w:t>
      </w:r>
    </w:p>
    <w:p>
      <w:pPr>
        <w:widowControl/>
        <w:snapToGrid w:val="0"/>
        <w:ind w:left="480" w:firstLine="480"/>
        <w:jc w:val="left"/>
        <w:rPr>
          <w:rFonts w:ascii="仿宋" w:hAnsi="仿宋" w:eastAsia="仿宋"/>
          <w:color w:val="000000" w:themeColor="text1"/>
          <w:sz w:val="24"/>
          <w:szCs w:val="22"/>
        </w:rPr>
      </w:pPr>
      <w:r>
        <w:rPr>
          <w:rFonts w:hint="eastAsia" w:ascii="仿宋" w:hAnsi="仿宋" w:eastAsia="仿宋"/>
          <w:color w:val="000000" w:themeColor="text1"/>
          <w:sz w:val="24"/>
          <w:szCs w:val="22"/>
        </w:rPr>
        <w:t>⑤具有一定的听、说、读、写、译的能力，在涉外交际的日常活动和业务活动中进行简单的口头和书面交流。</w:t>
      </w:r>
    </w:p>
    <w:p>
      <w:pPr>
        <w:widowControl/>
        <w:snapToGrid w:val="0"/>
        <w:ind w:left="480" w:firstLine="480"/>
        <w:jc w:val="left"/>
        <w:rPr>
          <w:rFonts w:ascii="仿宋" w:hAnsi="仿宋" w:eastAsia="仿宋"/>
          <w:color w:val="000000" w:themeColor="text1"/>
          <w:sz w:val="24"/>
          <w:szCs w:val="22"/>
        </w:rPr>
      </w:pPr>
      <w:r>
        <w:rPr>
          <w:rFonts w:hint="eastAsia" w:ascii="仿宋" w:hAnsi="仿宋" w:eastAsia="仿宋"/>
          <w:color w:val="000000" w:themeColor="text1"/>
          <w:sz w:val="24"/>
          <w:szCs w:val="22"/>
        </w:rPr>
        <w:t>⑥在运动中发展身体素质；掌握一到两项锻炼身体的方法；具有一定的体育鉴赏能力，掌握实用的安全和生存能力；通过体育锻炼进行有效的心理调控；逐步形成适应环境与职业要求、与他人协作互助和个体可持续发展等能力。</w:t>
      </w:r>
    </w:p>
    <w:p>
      <w:pPr>
        <w:widowControl/>
        <w:snapToGrid w:val="0"/>
        <w:ind w:left="480" w:firstLine="480"/>
        <w:jc w:val="left"/>
        <w:rPr>
          <w:rFonts w:ascii="仿宋" w:hAnsi="仿宋" w:eastAsia="仿宋"/>
          <w:color w:val="000000" w:themeColor="text1"/>
          <w:sz w:val="24"/>
          <w:szCs w:val="22"/>
        </w:rPr>
      </w:pPr>
      <w:r>
        <w:rPr>
          <w:rFonts w:hint="eastAsia" w:ascii="仿宋" w:hAnsi="仿宋" w:eastAsia="仿宋"/>
          <w:color w:val="000000" w:themeColor="text1"/>
          <w:sz w:val="24"/>
          <w:szCs w:val="22"/>
        </w:rPr>
        <w:t>⑦掌握自我探索技能，心理调适技能及心理发展技能。</w:t>
      </w:r>
    </w:p>
    <w:p>
      <w:pPr>
        <w:widowControl/>
        <w:snapToGrid w:val="0"/>
        <w:ind w:left="480" w:firstLine="480"/>
        <w:jc w:val="left"/>
        <w:rPr>
          <w:rFonts w:ascii="仿宋" w:hAnsi="仿宋" w:eastAsia="仿宋"/>
          <w:b/>
          <w:color w:val="000000" w:themeColor="text1"/>
          <w:sz w:val="24"/>
        </w:rPr>
      </w:pPr>
    </w:p>
    <w:p>
      <w:pPr>
        <w:widowControl/>
        <w:snapToGrid w:val="0"/>
        <w:ind w:left="482" w:firstLine="482"/>
        <w:jc w:val="left"/>
        <w:rPr>
          <w:rFonts w:ascii="仿宋" w:hAnsi="仿宋" w:eastAsia="仿宋"/>
          <w:color w:val="000000"/>
          <w:sz w:val="24"/>
        </w:rPr>
      </w:pPr>
      <w:r>
        <w:rPr>
          <w:rFonts w:hint="eastAsia" w:ascii="仿宋" w:hAnsi="仿宋" w:eastAsia="仿宋"/>
          <w:b/>
          <w:color w:val="000000"/>
          <w:sz w:val="24"/>
        </w:rPr>
        <w:t>专业技术技能的培养规格要求：（各专业具体填写）</w:t>
      </w:r>
    </w:p>
    <w:p>
      <w:pPr>
        <w:snapToGrid w:val="0"/>
        <w:spacing w:after="120"/>
        <w:ind w:firstLine="0"/>
        <w:rPr>
          <w:rFonts w:ascii="仿宋" w:hAnsi="仿宋" w:eastAsia="仿宋"/>
          <w:color w:val="000000"/>
          <w:sz w:val="24"/>
        </w:rPr>
      </w:pPr>
    </w:p>
    <w:p>
      <w:pPr>
        <w:widowControl/>
        <w:snapToGrid w:val="0"/>
        <w:ind w:left="482" w:firstLine="482"/>
        <w:jc w:val="left"/>
        <w:rPr>
          <w:rFonts w:ascii="仿宋" w:hAnsi="仿宋" w:eastAsia="仿宋"/>
          <w:color w:val="000000" w:themeColor="text1"/>
          <w:sz w:val="24"/>
        </w:rPr>
      </w:pPr>
      <w:r>
        <w:rPr>
          <w:rFonts w:hint="eastAsia" w:ascii="仿宋" w:hAnsi="仿宋" w:eastAsia="仿宋"/>
          <w:b/>
          <w:color w:val="000000"/>
          <w:sz w:val="24"/>
        </w:rPr>
        <w:t>（</w:t>
      </w:r>
      <w:r>
        <w:rPr>
          <w:rFonts w:hint="eastAsia" w:ascii="仿宋" w:hAnsi="仿宋" w:eastAsia="仿宋"/>
          <w:b/>
          <w:color w:val="000000" w:themeColor="text1"/>
          <w:sz w:val="24"/>
        </w:rPr>
        <w:t>4）职业证书</w:t>
      </w:r>
    </w:p>
    <w:p>
      <w:pPr>
        <w:widowControl/>
        <w:snapToGrid w:val="0"/>
        <w:ind w:firstLine="0"/>
        <w:jc w:val="left"/>
        <w:rPr>
          <w:rFonts w:ascii="仿宋" w:hAnsi="仿宋" w:eastAsia="仿宋"/>
          <w:color w:val="000000" w:themeColor="text1"/>
          <w:sz w:val="24"/>
        </w:rPr>
      </w:pPr>
    </w:p>
    <w:tbl>
      <w:tblPr>
        <w:tblStyle w:val="9"/>
        <w:tblpPr w:vertAnchor="text" w:horzAnchor="margin" w:tblpXSpec="center" w:tblpY="7"/>
        <w:tblW w:w="0" w:type="auto"/>
        <w:tblInd w:w="0" w:type="dxa"/>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1800"/>
        <w:gridCol w:w="2700"/>
        <w:gridCol w:w="4572"/>
      </w:tblGrid>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PrEx>
        <w:trPr>
          <w:trHeight w:val="335" w:hRule="atLeast"/>
          <w:tblHeader/>
        </w:trPr>
        <w:tc>
          <w:tcPr>
            <w:tcW w:w="18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spacing w:before="120" w:after="120"/>
              <w:ind w:firstLine="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职业岗位</w:t>
            </w:r>
          </w:p>
        </w:tc>
        <w:tc>
          <w:tcPr>
            <w:tcW w:w="27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spacing w:before="120" w:after="120"/>
              <w:ind w:firstLine="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职业资格证书名称及等级</w:t>
            </w:r>
          </w:p>
          <w:p>
            <w:pPr>
              <w:snapToGrid w:val="0"/>
              <w:spacing w:before="120" w:after="120"/>
              <w:ind w:firstLine="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职业技能证书名称及等级</w:t>
            </w:r>
          </w:p>
        </w:tc>
        <w:tc>
          <w:tcPr>
            <w:tcW w:w="457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spacing w:before="120" w:after="120"/>
              <w:ind w:firstLine="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发证单位</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152" w:hRule="atLeast"/>
        </w:trPr>
        <w:tc>
          <w:tcPr>
            <w:tcW w:w="1800" w:type="dxa"/>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themeColor="text1"/>
                <w:sz w:val="21"/>
              </w:rPr>
            </w:pPr>
          </w:p>
        </w:tc>
        <w:tc>
          <w:tcPr>
            <w:tcW w:w="2700" w:type="dxa"/>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themeColor="text1"/>
                <w:sz w:val="21"/>
              </w:rPr>
            </w:pPr>
          </w:p>
        </w:tc>
        <w:tc>
          <w:tcPr>
            <w:tcW w:w="4572" w:type="dxa"/>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themeColor="text1"/>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194" w:hRule="atLeast"/>
        </w:trPr>
        <w:tc>
          <w:tcPr>
            <w:tcW w:w="1800" w:type="dxa"/>
            <w:tcBorders>
              <w:top w:val="single" w:color="000000" w:sz="4" w:space="0"/>
              <w:left w:val="single" w:color="000000" w:sz="8" w:space="0"/>
              <w:bottom w:val="single" w:color="000000" w:sz="4"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themeColor="text1"/>
                <w:sz w:val="21"/>
              </w:rPr>
            </w:pPr>
          </w:p>
        </w:tc>
        <w:tc>
          <w:tcPr>
            <w:tcW w:w="2700" w:type="dxa"/>
            <w:tcBorders>
              <w:top w:val="single" w:color="000000" w:sz="4" w:space="0"/>
              <w:left w:val="single" w:color="000000" w:sz="8" w:space="0"/>
              <w:bottom w:val="single" w:color="000000" w:sz="4"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themeColor="text1"/>
                <w:sz w:val="21"/>
              </w:rPr>
            </w:pPr>
          </w:p>
        </w:tc>
        <w:tc>
          <w:tcPr>
            <w:tcW w:w="4572" w:type="dxa"/>
            <w:tcBorders>
              <w:top w:val="single" w:color="000000" w:sz="4" w:space="0"/>
              <w:left w:val="single" w:color="000000" w:sz="8" w:space="0"/>
              <w:bottom w:val="single" w:color="000000" w:sz="4"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themeColor="text1"/>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180" w:hRule="atLeast"/>
        </w:trPr>
        <w:tc>
          <w:tcPr>
            <w:tcW w:w="1800" w:type="dxa"/>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themeColor="text1"/>
                <w:sz w:val="21"/>
              </w:rPr>
            </w:pPr>
          </w:p>
        </w:tc>
        <w:tc>
          <w:tcPr>
            <w:tcW w:w="2700" w:type="dxa"/>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themeColor="text1"/>
                <w:sz w:val="21"/>
              </w:rPr>
            </w:pPr>
          </w:p>
        </w:tc>
        <w:tc>
          <w:tcPr>
            <w:tcW w:w="4572" w:type="dxa"/>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themeColor="text1"/>
                <w:sz w:val="21"/>
              </w:rPr>
            </w:pPr>
          </w:p>
        </w:tc>
      </w:tr>
    </w:tbl>
    <w:p>
      <w:pPr>
        <w:widowControl/>
        <w:snapToGrid w:val="0"/>
        <w:ind w:left="480" w:firstLine="480"/>
        <w:jc w:val="left"/>
        <w:rPr>
          <w:rFonts w:ascii="仿宋" w:hAnsi="仿宋" w:eastAsia="仿宋"/>
          <w:color w:val="000000"/>
          <w:sz w:val="24"/>
        </w:rPr>
      </w:pPr>
      <w:r>
        <w:rPr>
          <w:rFonts w:hint="eastAsia" w:ascii="仿宋" w:hAnsi="仿宋" w:eastAsia="仿宋"/>
          <w:color w:val="000000" w:themeColor="text1"/>
          <w:sz w:val="24"/>
        </w:rPr>
        <w:t>要求：务必首选学生能够参加考试的，针对核心职业岗位的职业资格证书、针对职业核心能力的中级及以上职业技能证书（有对应的职业资格证书的）或职业技能等级认定、专项职业能力证书项目或从业资格证书。根据国家</w:t>
      </w:r>
      <w:r>
        <w:rPr>
          <w:rFonts w:ascii="仿宋" w:hAnsi="仿宋" w:eastAsia="仿宋"/>
          <w:color w:val="000000" w:themeColor="text1"/>
          <w:sz w:val="24"/>
        </w:rPr>
        <w:t>1+X</w:t>
      </w:r>
      <w:r>
        <w:rPr>
          <w:rFonts w:hint="eastAsia" w:ascii="仿宋" w:hAnsi="仿宋" w:eastAsia="仿宋"/>
          <w:color w:val="000000" w:themeColor="text1"/>
          <w:sz w:val="24"/>
        </w:rPr>
        <w:t xml:space="preserve">证书试点制度，鼓励学生考试相关职业技能等级证书，拓展就业创业本领。 </w:t>
      </w:r>
      <w:r>
        <w:rPr>
          <w:rFonts w:hint="eastAsia" w:ascii="仿宋" w:hAnsi="仿宋" w:eastAsia="仿宋"/>
          <w:color w:val="000000"/>
          <w:sz w:val="24"/>
        </w:rPr>
        <w:t xml:space="preserve">              </w:t>
      </w:r>
    </w:p>
    <w:p>
      <w:pPr>
        <w:widowControl/>
        <w:snapToGrid w:val="0"/>
        <w:ind w:left="480" w:firstLine="480"/>
        <w:jc w:val="left"/>
        <w:rPr>
          <w:rFonts w:ascii="仿宋" w:hAnsi="仿宋" w:eastAsia="仿宋"/>
          <w:color w:val="000000"/>
          <w:sz w:val="24"/>
        </w:rPr>
      </w:pPr>
    </w:p>
    <w:p>
      <w:pPr>
        <w:widowControl/>
        <w:snapToGrid w:val="0"/>
        <w:ind w:firstLine="0"/>
        <w:jc w:val="left"/>
        <w:rPr>
          <w:rFonts w:ascii="仿宋" w:hAnsi="仿宋" w:eastAsia="仿宋"/>
          <w:b/>
          <w:color w:val="000000"/>
          <w:sz w:val="28"/>
        </w:rPr>
      </w:pPr>
      <w:r>
        <w:rPr>
          <w:rFonts w:hint="eastAsia" w:ascii="仿宋" w:hAnsi="仿宋" w:eastAsia="仿宋"/>
          <w:b/>
          <w:color w:val="000000"/>
          <w:sz w:val="28"/>
        </w:rPr>
        <w:t>四、课程体系与核心课程（教学内容）</w:t>
      </w:r>
    </w:p>
    <w:p>
      <w:pPr>
        <w:widowControl/>
        <w:snapToGrid w:val="0"/>
        <w:ind w:left="480" w:firstLine="480"/>
        <w:jc w:val="left"/>
        <w:rPr>
          <w:color w:val="000000"/>
        </w:rPr>
        <w:sectPr>
          <w:footerReference r:id="rId7" w:type="default"/>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olor w:val="000000"/>
          <w:sz w:val="24"/>
        </w:rPr>
        <w:t>建议：包括构建课程体系的架构与说明，专业核心课程简介，教学进程安排及说明等。应围绕高端技能型人才培养目标，综合考虑学生基本素质、职业能力培养与可持续发展，参照职业岗位任职要求，引入行业企业技术标准或规范，体现职业岗位（群）的任职要求、紧贴行业或产业领域的最新发展变化。</w:t>
      </w:r>
    </w:p>
    <w:p>
      <w:pPr>
        <w:widowControl/>
        <w:snapToGrid w:val="0"/>
        <w:ind w:firstLine="0"/>
        <w:jc w:val="left"/>
        <w:rPr>
          <w:rFonts w:ascii="仿宋" w:hAnsi="仿宋" w:eastAsia="仿宋"/>
          <w:b/>
          <w:color w:val="000000"/>
          <w:sz w:val="24"/>
        </w:rPr>
      </w:pPr>
      <w:r>
        <w:rPr>
          <w:rFonts w:hint="eastAsia" w:ascii="仿宋" w:hAnsi="仿宋" w:eastAsia="仿宋"/>
          <w:b/>
          <w:color w:val="000000"/>
          <w:sz w:val="24"/>
        </w:rPr>
        <w:t>㈠专业课程体系的架构</w:t>
      </w:r>
    </w:p>
    <w:p>
      <w:pPr>
        <w:widowControl/>
        <w:snapToGrid w:val="0"/>
        <w:ind w:left="482" w:firstLine="482"/>
        <w:jc w:val="left"/>
        <w:rPr>
          <w:rFonts w:ascii="仿宋" w:hAnsi="仿宋" w:eastAsia="仿宋"/>
          <w:b/>
          <w:color w:val="000000"/>
          <w:sz w:val="24"/>
          <w:shd w:val="pct10" w:color="000000" w:fill="FFFFFF"/>
        </w:rPr>
      </w:pPr>
      <w:r>
        <w:rPr>
          <w:rFonts w:hint="eastAsia" w:ascii="仿宋" w:hAnsi="仿宋" w:eastAsia="仿宋"/>
          <w:b/>
          <w:color w:val="000000"/>
          <w:sz w:val="24"/>
          <w:shd w:val="pct10" w:color="000000" w:fill="FFFFFF"/>
        </w:rPr>
        <w:t>特别提示：</w:t>
      </w:r>
    </w:p>
    <w:p>
      <w:pPr>
        <w:widowControl/>
        <w:snapToGrid w:val="0"/>
        <w:ind w:left="482" w:firstLine="482"/>
        <w:jc w:val="left"/>
        <w:rPr>
          <w:rFonts w:ascii="仿宋" w:hAnsi="仿宋" w:eastAsia="仿宋"/>
          <w:b/>
          <w:color w:val="000000"/>
          <w:sz w:val="24"/>
          <w:shd w:val="pct10" w:color="000000" w:fill="FFFFFF"/>
        </w:rPr>
      </w:pPr>
      <w:r>
        <w:rPr>
          <w:rFonts w:ascii="仿宋" w:hAnsi="仿宋" w:eastAsia="仿宋"/>
          <w:b/>
          <w:color w:val="000000"/>
          <w:sz w:val="24"/>
          <w:shd w:val="pct10" w:color="000000" w:fill="FFFFFF"/>
        </w:rPr>
        <w:t>1.</w:t>
      </w:r>
      <w:r>
        <w:rPr>
          <w:rFonts w:hint="eastAsia" w:ascii="仿宋" w:hAnsi="仿宋" w:eastAsia="仿宋"/>
          <w:b/>
          <w:color w:val="000000"/>
          <w:sz w:val="24"/>
          <w:shd w:val="pct10" w:color="000000" w:fill="FFFFFF"/>
        </w:rPr>
        <w:t>力争以图表形式体现专业课程产生的路径与课程体系构架，主要表现课程体系的设计思路与课程之间的关系；</w:t>
      </w:r>
    </w:p>
    <w:p>
      <w:pPr>
        <w:widowControl/>
        <w:snapToGrid w:val="0"/>
        <w:ind w:left="482" w:firstLine="482"/>
        <w:jc w:val="left"/>
        <w:rPr>
          <w:rFonts w:ascii="仿宋" w:hAnsi="仿宋" w:eastAsia="仿宋"/>
          <w:b/>
          <w:color w:val="000000"/>
          <w:sz w:val="24"/>
          <w:shd w:val="pct10" w:color="000000" w:fill="FFFFFF"/>
        </w:rPr>
      </w:pPr>
      <w:r>
        <w:rPr>
          <w:rFonts w:ascii="仿宋" w:hAnsi="仿宋" w:eastAsia="仿宋"/>
          <w:b/>
          <w:color w:val="000000"/>
          <w:sz w:val="24"/>
          <w:shd w:val="pct10" w:color="000000" w:fill="FFFFFF"/>
        </w:rPr>
        <w:t>2.</w:t>
      </w:r>
      <w:r>
        <w:rPr>
          <w:rFonts w:hint="eastAsia" w:ascii="仿宋" w:hAnsi="仿宋" w:eastAsia="仿宋"/>
          <w:b/>
          <w:color w:val="000000"/>
          <w:sz w:val="24"/>
          <w:shd w:val="pct10" w:color="000000" w:fill="FFFFFF"/>
        </w:rPr>
        <w:t>此处为人才培养方案制定的关键点，可参考示范院校重点专业。</w:t>
      </w:r>
    </w:p>
    <w:p>
      <w:pPr>
        <w:widowControl/>
        <w:snapToGrid w:val="0"/>
        <w:ind w:left="482" w:firstLine="482"/>
        <w:rPr>
          <w:b/>
          <w:color w:val="000000"/>
          <w:sz w:val="24"/>
        </w:rPr>
      </w:pPr>
      <w:r>
        <w:rPr>
          <w:rFonts w:hint="eastAsia"/>
          <w:b/>
          <w:color w:val="000000"/>
          <w:sz w:val="24"/>
        </w:rPr>
        <w:t>范例：典型工作任务的课程体系推导图</w:t>
      </w:r>
    </w:p>
    <w:p>
      <w:pPr>
        <w:widowControl/>
        <w:snapToGrid w:val="0"/>
        <w:ind w:firstLine="0"/>
        <w:jc w:val="center"/>
        <w:rPr>
          <w:b/>
          <w:color w:val="000000"/>
          <w:sz w:val="24"/>
        </w:rPr>
      </w:pPr>
      <w:r>
        <w:rPr>
          <w:color w:val="000000"/>
          <w:sz w:val="21"/>
        </w:rPr>
        <w:pict>
          <v:rect id="_x0000_s2056" o:spid="_x0000_s2056" o:spt="1" style="height:344.9pt;width:534.65pt;" filled="f" stroked="f" coordsize="21600,21600" o:gfxdata="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D6POLXAAAABgEAAA8AAAAAAAAAAQAgAAAAIgAAAGRycy9kb3ducmV2LnhtbFBLAQIUABQA&#10;AAAIAIdO4kChG/6QuAEAAHEDAAAOAAAAAAAAAAEAIAAAACYBAABkcnMvZTJvRG9jLnhtbFBLBQYA&#10;AAAABgAGAFkBAABQBQAAAAA=&#10;">
            <v:path/>
            <v:fill on="f" focussize="0,0"/>
            <v:stroke on="f"/>
            <v:imagedata o:title=""/>
            <o:lock v:ext="edit" aspectratio="t"/>
            <w10:wrap type="none"/>
            <w10:anchorlock/>
          </v:rect>
        </w:pict>
      </w:r>
    </w:p>
    <w:p>
      <w:pPr>
        <w:widowControl/>
        <w:snapToGrid w:val="0"/>
        <w:ind w:left="482" w:firstLine="482"/>
        <w:jc w:val="left"/>
        <w:rPr>
          <w:rFonts w:ascii="仿宋" w:hAnsi="仿宋" w:eastAsia="仿宋"/>
          <w:b/>
          <w:color w:val="000000"/>
          <w:sz w:val="24"/>
        </w:rPr>
      </w:pPr>
    </w:p>
    <w:p>
      <w:pPr>
        <w:widowControl/>
        <w:snapToGrid w:val="0"/>
        <w:ind w:left="482" w:firstLine="482"/>
        <w:jc w:val="left"/>
        <w:rPr>
          <w:rFonts w:ascii="仿宋" w:hAnsi="仿宋" w:eastAsia="仿宋"/>
          <w:b/>
          <w:color w:val="000000"/>
          <w:sz w:val="24"/>
        </w:rPr>
      </w:pPr>
      <w:r>
        <w:rPr>
          <w:rFonts w:hint="eastAsia" w:ascii="仿宋" w:hAnsi="仿宋" w:eastAsia="仿宋"/>
          <w:b/>
          <w:color w:val="000000"/>
          <w:sz w:val="24"/>
        </w:rPr>
        <w:t>㈡专业课程</w:t>
      </w:r>
    </w:p>
    <w:p>
      <w:pPr>
        <w:widowControl/>
        <w:snapToGrid w:val="0"/>
        <w:ind w:firstLine="964" w:firstLineChars="400"/>
        <w:jc w:val="left"/>
        <w:rPr>
          <w:rFonts w:ascii="仿宋" w:hAnsi="仿宋" w:eastAsia="仿宋"/>
          <w:b/>
          <w:bCs/>
          <w:color w:val="000000"/>
          <w:sz w:val="24"/>
        </w:rPr>
      </w:pPr>
      <w:r>
        <w:rPr>
          <w:rFonts w:hint="eastAsia" w:ascii="仿宋" w:hAnsi="仿宋" w:eastAsia="仿宋"/>
          <w:b/>
          <w:bCs/>
          <w:color w:val="000000"/>
          <w:sz w:val="24"/>
        </w:rPr>
        <w:t>1.中职阶段专业课程</w:t>
      </w:r>
    </w:p>
    <w:p>
      <w:pPr>
        <w:widowControl/>
        <w:snapToGrid w:val="0"/>
        <w:ind w:left="480" w:firstLine="480"/>
        <w:jc w:val="left"/>
        <w:rPr>
          <w:rFonts w:hint="eastAsia" w:ascii="仿宋" w:hAnsi="仿宋" w:eastAsia="仿宋"/>
          <w:b/>
          <w:bCs/>
          <w:color w:val="000000"/>
          <w:sz w:val="24"/>
        </w:rPr>
      </w:pPr>
      <w:r>
        <w:rPr>
          <w:rFonts w:hint="eastAsia" w:ascii="仿宋" w:hAnsi="仿宋" w:eastAsia="仿宋"/>
          <w:b/>
          <w:bCs/>
          <w:color w:val="000000"/>
          <w:sz w:val="24"/>
        </w:rPr>
        <w:t>（1）专业核心课程</w:t>
      </w:r>
    </w:p>
    <w:tbl>
      <w:tblPr>
        <w:tblStyle w:val="9"/>
        <w:tblpPr w:leftFromText="180" w:rightFromText="180" w:vertAnchor="text" w:horzAnchor="page" w:tblpX="1506" w:tblpY="554"/>
        <w:tblOverlap w:val="never"/>
        <w:tblW w:w="1432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91"/>
        <w:gridCol w:w="1039"/>
        <w:gridCol w:w="2100"/>
        <w:gridCol w:w="1590"/>
        <w:gridCol w:w="1755"/>
        <w:gridCol w:w="2565"/>
        <w:gridCol w:w="2175"/>
        <w:gridCol w:w="735"/>
        <w:gridCol w:w="810"/>
        <w:gridCol w:w="76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9" w:hRule="atLeast"/>
          <w:tblHeader/>
        </w:trPr>
        <w:tc>
          <w:tcPr>
            <w:tcW w:w="791" w:type="dxa"/>
            <w:vAlign w:val="center"/>
          </w:tcPr>
          <w:p>
            <w:pPr>
              <w:adjustRightInd w:val="0"/>
              <w:snapToGrid w:val="0"/>
              <w:spacing w:before="120" w:beforeLines="50" w:after="120" w:afterLines="50"/>
              <w:jc w:val="center"/>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课</w:t>
            </w:r>
            <w:r>
              <w:rPr>
                <w:rFonts w:hint="eastAsia" w:asciiTheme="minorEastAsia" w:hAnsiTheme="minorEastAsia" w:eastAsiaTheme="minorEastAsia" w:cstheme="minorEastAsia"/>
                <w:b/>
                <w:color w:val="000000"/>
                <w:szCs w:val="21"/>
                <w:lang w:eastAsia="zh-CN"/>
              </w:rPr>
              <w:t>课</w:t>
            </w:r>
            <w:r>
              <w:rPr>
                <w:rFonts w:hint="eastAsia" w:asciiTheme="minorEastAsia" w:hAnsiTheme="minorEastAsia" w:eastAsiaTheme="minorEastAsia" w:cstheme="minorEastAsia"/>
                <w:b/>
                <w:color w:val="000000"/>
                <w:szCs w:val="21"/>
              </w:rPr>
              <w:t>程名称</w:t>
            </w:r>
          </w:p>
        </w:tc>
        <w:tc>
          <w:tcPr>
            <w:tcW w:w="1039" w:type="dxa"/>
            <w:vAlign w:val="center"/>
          </w:tcPr>
          <w:p>
            <w:pPr>
              <w:adjustRightInd w:val="0"/>
              <w:snapToGrid w:val="0"/>
              <w:spacing w:before="120" w:beforeLines="50" w:after="120" w:afterLines="50"/>
              <w:jc w:val="center"/>
              <w:rPr>
                <w:rFonts w:hint="eastAsia" w:asciiTheme="minorEastAsia" w:hAnsiTheme="minorEastAsia" w:eastAsiaTheme="minorEastAsia" w:cstheme="minorEastAsia"/>
                <w:b/>
                <w:bCs/>
                <w:color w:val="000000" w:themeColor="text1"/>
                <w:sz w:val="32"/>
                <w:szCs w:val="21"/>
              </w:rPr>
            </w:pPr>
            <w:r>
              <w:rPr>
                <w:rFonts w:hint="eastAsia" w:asciiTheme="minorEastAsia" w:hAnsiTheme="minorEastAsia" w:eastAsiaTheme="minorEastAsia" w:cstheme="minorEastAsia"/>
                <w:b/>
                <w:color w:val="000000" w:themeColor="text1"/>
                <w:kern w:val="0"/>
                <w:szCs w:val="21"/>
                <w:lang w:eastAsia="zh-CN"/>
              </w:rPr>
              <w:t>课课程目标</w:t>
            </w:r>
          </w:p>
        </w:tc>
        <w:tc>
          <w:tcPr>
            <w:tcW w:w="2100" w:type="dxa"/>
            <w:tcBorders>
              <w:right w:val="single" w:color="auto" w:sz="4" w:space="0"/>
            </w:tcBorders>
            <w:vAlign w:val="center"/>
          </w:tcPr>
          <w:p>
            <w:pPr>
              <w:adjustRightInd w:val="0"/>
              <w:snapToGrid w:val="0"/>
              <w:spacing w:before="120" w:beforeLines="50" w:after="120" w:afterLines="50"/>
              <w:jc w:val="center"/>
              <w:rPr>
                <w:rFonts w:hint="eastAsia" w:asciiTheme="minorEastAsia" w:hAnsiTheme="minorEastAsia" w:eastAsiaTheme="minorEastAsia" w:cstheme="minorEastAsia"/>
                <w:b/>
                <w:color w:val="000000" w:themeColor="text1"/>
                <w:kern w:val="0"/>
                <w:szCs w:val="21"/>
              </w:rPr>
            </w:pPr>
            <w:r>
              <w:rPr>
                <w:rFonts w:hint="eastAsia" w:asciiTheme="minorEastAsia" w:hAnsiTheme="minorEastAsia" w:eastAsiaTheme="minorEastAsia" w:cstheme="minorEastAsia"/>
                <w:b/>
                <w:color w:val="000000" w:themeColor="text1"/>
                <w:kern w:val="0"/>
                <w:szCs w:val="21"/>
              </w:rPr>
              <w:t>主</w:t>
            </w:r>
            <w:r>
              <w:rPr>
                <w:rFonts w:hint="eastAsia" w:asciiTheme="minorEastAsia" w:hAnsiTheme="minorEastAsia" w:eastAsiaTheme="minorEastAsia" w:cstheme="minorEastAsia"/>
                <w:b/>
                <w:color w:val="000000" w:themeColor="text1"/>
                <w:kern w:val="0"/>
                <w:szCs w:val="21"/>
                <w:lang w:eastAsia="zh-CN"/>
              </w:rPr>
              <w:t>主</w:t>
            </w:r>
            <w:r>
              <w:rPr>
                <w:rFonts w:hint="eastAsia" w:asciiTheme="minorEastAsia" w:hAnsiTheme="minorEastAsia" w:eastAsiaTheme="minorEastAsia" w:cstheme="minorEastAsia"/>
                <w:b/>
                <w:color w:val="000000" w:themeColor="text1"/>
                <w:kern w:val="0"/>
                <w:szCs w:val="21"/>
              </w:rPr>
              <w:t>要教学内容与要求</w:t>
            </w:r>
          </w:p>
        </w:tc>
        <w:tc>
          <w:tcPr>
            <w:tcW w:w="1590" w:type="dxa"/>
            <w:tcBorders>
              <w:right w:val="single" w:color="auto" w:sz="4" w:space="0"/>
            </w:tcBorders>
            <w:vAlign w:val="center"/>
          </w:tcPr>
          <w:p>
            <w:pPr>
              <w:adjustRightInd w:val="0"/>
              <w:snapToGrid w:val="0"/>
              <w:spacing w:before="120" w:beforeLines="50" w:after="120" w:afterLines="50"/>
              <w:jc w:val="center"/>
              <w:rPr>
                <w:rFonts w:hint="eastAsia" w:asciiTheme="minorEastAsia" w:hAnsiTheme="minorEastAsia" w:eastAsiaTheme="minorEastAsia" w:cstheme="minorEastAsia"/>
                <w:b/>
                <w:color w:val="000000" w:themeColor="text1"/>
                <w:kern w:val="0"/>
                <w:szCs w:val="21"/>
                <w:lang w:eastAsia="zh-CN"/>
              </w:rPr>
            </w:pPr>
            <w:r>
              <w:rPr>
                <w:rFonts w:hint="eastAsia" w:asciiTheme="minorEastAsia" w:hAnsiTheme="minorEastAsia" w:eastAsiaTheme="minorEastAsia" w:cstheme="minorEastAsia"/>
                <w:b/>
                <w:color w:val="000000" w:themeColor="text1"/>
                <w:kern w:val="0"/>
                <w:szCs w:val="21"/>
                <w:lang w:eastAsia="zh-CN"/>
              </w:rPr>
              <w:t>主主要教学方法</w:t>
            </w:r>
          </w:p>
        </w:tc>
        <w:tc>
          <w:tcPr>
            <w:tcW w:w="1755" w:type="dxa"/>
            <w:tcBorders>
              <w:right w:val="single" w:color="auto" w:sz="4" w:space="0"/>
            </w:tcBorders>
            <w:vAlign w:val="center"/>
          </w:tcPr>
          <w:p>
            <w:pPr>
              <w:adjustRightInd w:val="0"/>
              <w:snapToGrid w:val="0"/>
              <w:spacing w:before="120" w:beforeLines="50" w:after="120" w:afterLines="50"/>
              <w:jc w:val="center"/>
              <w:rPr>
                <w:rFonts w:hint="eastAsia" w:asciiTheme="minorEastAsia" w:hAnsiTheme="minorEastAsia" w:eastAsiaTheme="minorEastAsia" w:cstheme="minorEastAsia"/>
                <w:b/>
                <w:bCs/>
                <w:color w:val="000000" w:themeColor="text1"/>
                <w:sz w:val="32"/>
                <w:szCs w:val="21"/>
              </w:rPr>
            </w:pPr>
            <w:r>
              <w:rPr>
                <w:rFonts w:hint="eastAsia" w:asciiTheme="minorEastAsia" w:hAnsiTheme="minorEastAsia" w:eastAsiaTheme="minorEastAsia" w:cstheme="minorEastAsia"/>
                <w:b/>
                <w:color w:val="000000" w:themeColor="text1"/>
                <w:szCs w:val="21"/>
              </w:rPr>
              <w:t>主</w:t>
            </w:r>
            <w:r>
              <w:rPr>
                <w:rFonts w:hint="eastAsia" w:asciiTheme="minorEastAsia" w:hAnsiTheme="minorEastAsia" w:eastAsiaTheme="minorEastAsia" w:cstheme="minorEastAsia"/>
                <w:b/>
                <w:color w:val="000000" w:themeColor="text1"/>
                <w:szCs w:val="21"/>
                <w:lang w:eastAsia="zh-CN"/>
              </w:rPr>
              <w:t>主</w:t>
            </w:r>
            <w:r>
              <w:rPr>
                <w:rFonts w:hint="eastAsia" w:asciiTheme="minorEastAsia" w:hAnsiTheme="minorEastAsia" w:eastAsiaTheme="minorEastAsia" w:cstheme="minorEastAsia"/>
                <w:b/>
                <w:color w:val="000000" w:themeColor="text1"/>
                <w:szCs w:val="21"/>
              </w:rPr>
              <w:t>要技能与要求</w:t>
            </w:r>
          </w:p>
        </w:tc>
        <w:tc>
          <w:tcPr>
            <w:tcW w:w="2565" w:type="dxa"/>
            <w:tcBorders>
              <w:left w:val="single" w:color="auto" w:sz="4" w:space="0"/>
              <w:right w:val="single" w:color="auto" w:sz="4" w:space="0"/>
            </w:tcBorders>
          </w:tcPr>
          <w:p>
            <w:pPr>
              <w:adjustRightInd w:val="0"/>
              <w:snapToGrid w:val="0"/>
              <w:spacing w:before="120" w:beforeLines="50" w:after="120" w:afterLines="50"/>
              <w:jc w:val="center"/>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课</w:t>
            </w:r>
            <w:r>
              <w:rPr>
                <w:rFonts w:hint="eastAsia" w:asciiTheme="minorEastAsia" w:hAnsiTheme="minorEastAsia" w:eastAsiaTheme="minorEastAsia" w:cstheme="minorEastAsia"/>
                <w:b/>
                <w:color w:val="000000"/>
                <w:szCs w:val="21"/>
                <w:lang w:eastAsia="zh-CN"/>
              </w:rPr>
              <w:t>课</w:t>
            </w:r>
            <w:r>
              <w:rPr>
                <w:rFonts w:hint="eastAsia" w:asciiTheme="minorEastAsia" w:hAnsiTheme="minorEastAsia" w:eastAsiaTheme="minorEastAsia" w:cstheme="minorEastAsia"/>
                <w:b/>
                <w:color w:val="000000"/>
                <w:szCs w:val="21"/>
              </w:rPr>
              <w:t>程思政、励园文化融合点要求</w:t>
            </w:r>
          </w:p>
        </w:tc>
        <w:tc>
          <w:tcPr>
            <w:tcW w:w="2175" w:type="dxa"/>
            <w:tcBorders>
              <w:left w:val="single" w:color="auto" w:sz="4" w:space="0"/>
            </w:tcBorders>
            <w:vAlign w:val="center"/>
          </w:tcPr>
          <w:p>
            <w:pPr>
              <w:adjustRightInd w:val="0"/>
              <w:snapToGrid w:val="0"/>
              <w:spacing w:before="120" w:beforeLines="50" w:after="120" w:afterLines="50"/>
              <w:jc w:val="center"/>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创</w:t>
            </w:r>
            <w:r>
              <w:rPr>
                <w:rFonts w:hint="eastAsia" w:asciiTheme="minorEastAsia" w:hAnsiTheme="minorEastAsia" w:eastAsiaTheme="minorEastAsia" w:cstheme="minorEastAsia"/>
                <w:b/>
                <w:color w:val="000000"/>
                <w:szCs w:val="21"/>
                <w:lang w:eastAsia="zh-CN"/>
              </w:rPr>
              <w:t>创</w:t>
            </w:r>
            <w:r>
              <w:rPr>
                <w:rFonts w:hint="eastAsia" w:asciiTheme="minorEastAsia" w:hAnsiTheme="minorEastAsia" w:eastAsiaTheme="minorEastAsia" w:cstheme="minorEastAsia"/>
                <w:b/>
                <w:color w:val="000000"/>
                <w:szCs w:val="21"/>
              </w:rPr>
              <w:t>新创业创造融合点要求</w:t>
            </w:r>
          </w:p>
        </w:tc>
        <w:tc>
          <w:tcPr>
            <w:tcW w:w="735" w:type="dxa"/>
            <w:vAlign w:val="center"/>
          </w:tcPr>
          <w:p>
            <w:pPr>
              <w:adjustRightInd w:val="0"/>
              <w:snapToGrid w:val="0"/>
              <w:spacing w:before="120" w:beforeLines="50" w:after="120" w:afterLines="50"/>
              <w:jc w:val="center"/>
              <w:rPr>
                <w:rFonts w:hint="eastAsia" w:asciiTheme="minorEastAsia" w:hAnsiTheme="minorEastAsia" w:eastAsiaTheme="minorEastAsia" w:cstheme="minorEastAsia"/>
                <w:b/>
                <w:bCs/>
                <w:color w:val="000000"/>
                <w:sz w:val="32"/>
                <w:szCs w:val="21"/>
              </w:rPr>
            </w:pPr>
            <w:r>
              <w:rPr>
                <w:rFonts w:hint="eastAsia" w:asciiTheme="minorEastAsia" w:hAnsiTheme="minorEastAsia" w:eastAsiaTheme="minorEastAsia" w:cstheme="minorEastAsia"/>
                <w:b/>
                <w:color w:val="000000"/>
                <w:szCs w:val="21"/>
              </w:rPr>
              <w:t>考</w:t>
            </w:r>
            <w:r>
              <w:rPr>
                <w:rFonts w:hint="eastAsia" w:asciiTheme="minorEastAsia" w:hAnsiTheme="minorEastAsia" w:eastAsiaTheme="minorEastAsia" w:cstheme="minorEastAsia"/>
                <w:b/>
                <w:color w:val="000000"/>
                <w:szCs w:val="21"/>
                <w:lang w:eastAsia="zh-CN"/>
              </w:rPr>
              <w:t>考</w:t>
            </w:r>
            <w:r>
              <w:rPr>
                <w:rFonts w:hint="eastAsia" w:asciiTheme="minorEastAsia" w:hAnsiTheme="minorEastAsia" w:eastAsiaTheme="minorEastAsia" w:cstheme="minorEastAsia"/>
                <w:b/>
                <w:color w:val="000000"/>
                <w:szCs w:val="21"/>
              </w:rPr>
              <w:t>核</w:t>
            </w:r>
          </w:p>
        </w:tc>
        <w:tc>
          <w:tcPr>
            <w:tcW w:w="810" w:type="dxa"/>
            <w:vAlign w:val="center"/>
          </w:tcPr>
          <w:p>
            <w:pPr>
              <w:adjustRightInd w:val="0"/>
              <w:snapToGrid w:val="0"/>
              <w:spacing w:before="120" w:beforeLines="50" w:after="120" w:afterLines="50"/>
              <w:jc w:val="center"/>
              <w:rPr>
                <w:rFonts w:hint="eastAsia" w:asciiTheme="minorEastAsia" w:hAnsiTheme="minorEastAsia" w:eastAsiaTheme="minorEastAsia" w:cstheme="minorEastAsia"/>
                <w:b/>
                <w:bCs/>
                <w:color w:val="000000"/>
                <w:sz w:val="32"/>
                <w:szCs w:val="21"/>
              </w:rPr>
            </w:pPr>
            <w:r>
              <w:rPr>
                <w:rFonts w:hint="eastAsia" w:asciiTheme="minorEastAsia" w:hAnsiTheme="minorEastAsia" w:eastAsiaTheme="minorEastAsia" w:cstheme="minorEastAsia"/>
                <w:b/>
                <w:color w:val="000000"/>
                <w:szCs w:val="21"/>
              </w:rPr>
              <w:t>学</w:t>
            </w:r>
            <w:r>
              <w:rPr>
                <w:rFonts w:hint="eastAsia" w:asciiTheme="minorEastAsia" w:hAnsiTheme="minorEastAsia" w:eastAsiaTheme="minorEastAsia" w:cstheme="minorEastAsia"/>
                <w:b/>
                <w:color w:val="000000"/>
                <w:szCs w:val="21"/>
                <w:lang w:eastAsia="zh-CN"/>
              </w:rPr>
              <w:t>学</w:t>
            </w:r>
            <w:r>
              <w:rPr>
                <w:rFonts w:hint="eastAsia" w:asciiTheme="minorEastAsia" w:hAnsiTheme="minorEastAsia" w:eastAsiaTheme="minorEastAsia" w:cstheme="minorEastAsia"/>
                <w:b/>
                <w:color w:val="000000"/>
                <w:szCs w:val="21"/>
              </w:rPr>
              <w:t>期</w:t>
            </w:r>
          </w:p>
        </w:tc>
        <w:tc>
          <w:tcPr>
            <w:tcW w:w="765" w:type="dxa"/>
            <w:vAlign w:val="center"/>
          </w:tcPr>
          <w:p>
            <w:pPr>
              <w:adjustRightInd w:val="0"/>
              <w:snapToGrid w:val="0"/>
              <w:spacing w:before="120" w:beforeLines="50" w:after="120" w:afterLines="50"/>
              <w:jc w:val="center"/>
              <w:rPr>
                <w:rFonts w:hint="eastAsia" w:asciiTheme="minorEastAsia" w:hAnsiTheme="minorEastAsia" w:eastAsiaTheme="minorEastAsia" w:cstheme="minorEastAsia"/>
                <w:b/>
                <w:bCs/>
                <w:color w:val="000000"/>
                <w:sz w:val="32"/>
                <w:szCs w:val="21"/>
              </w:rPr>
            </w:pPr>
            <w:r>
              <w:rPr>
                <w:rFonts w:hint="eastAsia" w:asciiTheme="minorEastAsia" w:hAnsiTheme="minorEastAsia" w:eastAsiaTheme="minorEastAsia" w:cstheme="minorEastAsia"/>
                <w:b/>
                <w:color w:val="000000"/>
                <w:szCs w:val="21"/>
              </w:rPr>
              <w:t>学</w:t>
            </w:r>
            <w:r>
              <w:rPr>
                <w:rFonts w:hint="eastAsia" w:asciiTheme="minorEastAsia" w:hAnsiTheme="minorEastAsia" w:eastAsiaTheme="minorEastAsia" w:cstheme="minorEastAsia"/>
                <w:b/>
                <w:color w:val="000000"/>
                <w:szCs w:val="21"/>
                <w:lang w:eastAsia="zh-CN"/>
              </w:rPr>
              <w:t>学</w:t>
            </w:r>
            <w:r>
              <w:rPr>
                <w:rFonts w:hint="eastAsia" w:asciiTheme="minorEastAsia" w:hAnsiTheme="minorEastAsia" w:eastAsiaTheme="minorEastAsia" w:cstheme="minorEastAsia"/>
                <w:b/>
                <w:color w:val="000000"/>
                <w:szCs w:val="21"/>
              </w:rPr>
              <w:t>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trPr>
        <w:tc>
          <w:tcPr>
            <w:tcW w:w="791" w:type="dxa"/>
            <w:vAlign w:val="center"/>
          </w:tcPr>
          <w:p>
            <w:pPr>
              <w:jc w:val="center"/>
              <w:rPr>
                <w:rFonts w:ascii="仿宋" w:hAnsi="仿宋" w:eastAsia="仿宋"/>
                <w:b/>
                <w:color w:val="000000"/>
                <w:szCs w:val="21"/>
              </w:rPr>
            </w:pPr>
          </w:p>
        </w:tc>
        <w:tc>
          <w:tcPr>
            <w:tcW w:w="1039" w:type="dxa"/>
            <w:vAlign w:val="center"/>
          </w:tcPr>
          <w:p>
            <w:pPr>
              <w:jc w:val="center"/>
              <w:rPr>
                <w:rFonts w:ascii="仿宋" w:hAnsi="仿宋" w:eastAsia="仿宋"/>
                <w:b/>
                <w:color w:val="000000"/>
                <w:szCs w:val="21"/>
              </w:rPr>
            </w:pPr>
          </w:p>
        </w:tc>
        <w:tc>
          <w:tcPr>
            <w:tcW w:w="2100" w:type="dxa"/>
            <w:tcBorders>
              <w:right w:val="single" w:color="auto" w:sz="4" w:space="0"/>
            </w:tcBorders>
            <w:vAlign w:val="center"/>
          </w:tcPr>
          <w:p>
            <w:pPr>
              <w:jc w:val="center"/>
              <w:rPr>
                <w:rFonts w:ascii="仿宋" w:hAnsi="仿宋" w:eastAsia="仿宋"/>
                <w:b/>
                <w:color w:val="000000"/>
                <w:szCs w:val="21"/>
              </w:rPr>
            </w:pPr>
          </w:p>
        </w:tc>
        <w:tc>
          <w:tcPr>
            <w:tcW w:w="1590" w:type="dxa"/>
            <w:tcBorders>
              <w:right w:val="single" w:color="auto" w:sz="4" w:space="0"/>
            </w:tcBorders>
            <w:vAlign w:val="center"/>
          </w:tcPr>
          <w:p>
            <w:pPr>
              <w:jc w:val="center"/>
              <w:rPr>
                <w:rFonts w:ascii="仿宋" w:hAnsi="仿宋" w:eastAsia="仿宋"/>
                <w:b/>
                <w:color w:val="000000"/>
                <w:szCs w:val="21"/>
              </w:rPr>
            </w:pPr>
          </w:p>
        </w:tc>
        <w:tc>
          <w:tcPr>
            <w:tcW w:w="1755" w:type="dxa"/>
            <w:tcBorders>
              <w:right w:val="single" w:color="auto" w:sz="4" w:space="0"/>
            </w:tcBorders>
            <w:vAlign w:val="center"/>
          </w:tcPr>
          <w:p>
            <w:pPr>
              <w:jc w:val="center"/>
              <w:rPr>
                <w:rFonts w:ascii="仿宋" w:hAnsi="仿宋" w:eastAsia="仿宋"/>
                <w:b/>
                <w:color w:val="000000"/>
                <w:szCs w:val="21"/>
              </w:rPr>
            </w:pPr>
          </w:p>
        </w:tc>
        <w:tc>
          <w:tcPr>
            <w:tcW w:w="2565" w:type="dxa"/>
            <w:tcBorders>
              <w:left w:val="single" w:color="auto" w:sz="4" w:space="0"/>
              <w:right w:val="single" w:color="auto" w:sz="4" w:space="0"/>
            </w:tcBorders>
          </w:tcPr>
          <w:p>
            <w:pPr>
              <w:jc w:val="center"/>
              <w:rPr>
                <w:rFonts w:ascii="仿宋" w:hAnsi="仿宋" w:eastAsia="仿宋"/>
                <w:b/>
                <w:color w:val="000000"/>
                <w:szCs w:val="21"/>
              </w:rPr>
            </w:pPr>
          </w:p>
        </w:tc>
        <w:tc>
          <w:tcPr>
            <w:tcW w:w="2175" w:type="dxa"/>
            <w:tcBorders>
              <w:left w:val="single" w:color="auto" w:sz="4" w:space="0"/>
            </w:tcBorders>
            <w:vAlign w:val="center"/>
          </w:tcPr>
          <w:p>
            <w:pPr>
              <w:jc w:val="center"/>
              <w:rPr>
                <w:rFonts w:ascii="仿宋" w:hAnsi="仿宋" w:eastAsia="仿宋"/>
                <w:b/>
                <w:color w:val="000000"/>
                <w:szCs w:val="21"/>
              </w:rPr>
            </w:pPr>
          </w:p>
        </w:tc>
        <w:tc>
          <w:tcPr>
            <w:tcW w:w="735" w:type="dxa"/>
          </w:tcPr>
          <w:p>
            <w:pPr>
              <w:jc w:val="center"/>
              <w:rPr>
                <w:rFonts w:ascii="仿宋" w:hAnsi="仿宋" w:eastAsia="仿宋"/>
                <w:b/>
                <w:color w:val="000000"/>
                <w:szCs w:val="21"/>
              </w:rPr>
            </w:pPr>
          </w:p>
        </w:tc>
        <w:tc>
          <w:tcPr>
            <w:tcW w:w="810" w:type="dxa"/>
            <w:vAlign w:val="center"/>
          </w:tcPr>
          <w:p>
            <w:pPr>
              <w:jc w:val="center"/>
              <w:rPr>
                <w:rFonts w:ascii="仿宋" w:hAnsi="仿宋" w:eastAsia="仿宋"/>
                <w:b/>
                <w:color w:val="000000"/>
                <w:szCs w:val="21"/>
              </w:rPr>
            </w:pPr>
          </w:p>
        </w:tc>
        <w:tc>
          <w:tcPr>
            <w:tcW w:w="765" w:type="dxa"/>
            <w:vAlign w:val="center"/>
          </w:tcPr>
          <w:p>
            <w:pPr>
              <w:jc w:val="center"/>
              <w:rPr>
                <w:rFonts w:ascii="仿宋" w:hAnsi="仿宋" w:eastAsia="仿宋"/>
                <w:b/>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trPr>
        <w:tc>
          <w:tcPr>
            <w:tcW w:w="791" w:type="dxa"/>
            <w:vAlign w:val="center"/>
          </w:tcPr>
          <w:p>
            <w:pPr>
              <w:jc w:val="center"/>
              <w:rPr>
                <w:rFonts w:ascii="仿宋" w:hAnsi="仿宋" w:eastAsia="仿宋"/>
                <w:b/>
                <w:color w:val="000000"/>
                <w:szCs w:val="21"/>
              </w:rPr>
            </w:pPr>
          </w:p>
        </w:tc>
        <w:tc>
          <w:tcPr>
            <w:tcW w:w="1039" w:type="dxa"/>
            <w:vAlign w:val="center"/>
          </w:tcPr>
          <w:p>
            <w:pPr>
              <w:jc w:val="center"/>
              <w:rPr>
                <w:rFonts w:ascii="仿宋" w:hAnsi="仿宋" w:eastAsia="仿宋"/>
                <w:b/>
                <w:color w:val="000000"/>
                <w:szCs w:val="21"/>
              </w:rPr>
            </w:pPr>
          </w:p>
        </w:tc>
        <w:tc>
          <w:tcPr>
            <w:tcW w:w="2100" w:type="dxa"/>
            <w:tcBorders>
              <w:right w:val="single" w:color="auto" w:sz="4" w:space="0"/>
            </w:tcBorders>
            <w:vAlign w:val="center"/>
          </w:tcPr>
          <w:p>
            <w:pPr>
              <w:jc w:val="center"/>
              <w:rPr>
                <w:rFonts w:ascii="仿宋" w:hAnsi="仿宋" w:eastAsia="仿宋"/>
                <w:b/>
                <w:color w:val="000000"/>
                <w:szCs w:val="21"/>
              </w:rPr>
            </w:pPr>
          </w:p>
        </w:tc>
        <w:tc>
          <w:tcPr>
            <w:tcW w:w="1590" w:type="dxa"/>
            <w:tcBorders>
              <w:right w:val="single" w:color="auto" w:sz="4" w:space="0"/>
            </w:tcBorders>
            <w:vAlign w:val="center"/>
          </w:tcPr>
          <w:p>
            <w:pPr>
              <w:jc w:val="center"/>
              <w:rPr>
                <w:rFonts w:ascii="仿宋" w:hAnsi="仿宋" w:eastAsia="仿宋"/>
                <w:b/>
                <w:color w:val="000000"/>
                <w:szCs w:val="21"/>
              </w:rPr>
            </w:pPr>
          </w:p>
        </w:tc>
        <w:tc>
          <w:tcPr>
            <w:tcW w:w="1755" w:type="dxa"/>
            <w:tcBorders>
              <w:right w:val="single" w:color="auto" w:sz="4" w:space="0"/>
            </w:tcBorders>
            <w:vAlign w:val="center"/>
          </w:tcPr>
          <w:p>
            <w:pPr>
              <w:jc w:val="center"/>
              <w:rPr>
                <w:rFonts w:ascii="仿宋" w:hAnsi="仿宋" w:eastAsia="仿宋"/>
                <w:b/>
                <w:color w:val="000000"/>
                <w:szCs w:val="21"/>
              </w:rPr>
            </w:pPr>
          </w:p>
        </w:tc>
        <w:tc>
          <w:tcPr>
            <w:tcW w:w="2565" w:type="dxa"/>
            <w:tcBorders>
              <w:left w:val="single" w:color="auto" w:sz="4" w:space="0"/>
              <w:right w:val="single" w:color="auto" w:sz="4" w:space="0"/>
            </w:tcBorders>
          </w:tcPr>
          <w:p>
            <w:pPr>
              <w:jc w:val="center"/>
              <w:rPr>
                <w:rFonts w:ascii="仿宋" w:hAnsi="仿宋" w:eastAsia="仿宋"/>
                <w:b/>
                <w:color w:val="000000"/>
                <w:szCs w:val="21"/>
              </w:rPr>
            </w:pPr>
          </w:p>
        </w:tc>
        <w:tc>
          <w:tcPr>
            <w:tcW w:w="2175" w:type="dxa"/>
            <w:tcBorders>
              <w:left w:val="single" w:color="auto" w:sz="4" w:space="0"/>
            </w:tcBorders>
            <w:vAlign w:val="center"/>
          </w:tcPr>
          <w:p>
            <w:pPr>
              <w:jc w:val="center"/>
              <w:rPr>
                <w:rFonts w:ascii="仿宋" w:hAnsi="仿宋" w:eastAsia="仿宋"/>
                <w:b/>
                <w:color w:val="000000"/>
                <w:szCs w:val="21"/>
              </w:rPr>
            </w:pPr>
          </w:p>
        </w:tc>
        <w:tc>
          <w:tcPr>
            <w:tcW w:w="735" w:type="dxa"/>
          </w:tcPr>
          <w:p>
            <w:pPr>
              <w:jc w:val="center"/>
              <w:rPr>
                <w:rFonts w:ascii="仿宋" w:hAnsi="仿宋" w:eastAsia="仿宋"/>
                <w:b/>
                <w:color w:val="000000"/>
                <w:szCs w:val="21"/>
              </w:rPr>
            </w:pPr>
          </w:p>
        </w:tc>
        <w:tc>
          <w:tcPr>
            <w:tcW w:w="810" w:type="dxa"/>
            <w:vAlign w:val="center"/>
          </w:tcPr>
          <w:p>
            <w:pPr>
              <w:jc w:val="center"/>
              <w:rPr>
                <w:rFonts w:ascii="仿宋" w:hAnsi="仿宋" w:eastAsia="仿宋"/>
                <w:b/>
                <w:color w:val="000000"/>
                <w:szCs w:val="21"/>
              </w:rPr>
            </w:pPr>
          </w:p>
        </w:tc>
        <w:tc>
          <w:tcPr>
            <w:tcW w:w="765" w:type="dxa"/>
            <w:vAlign w:val="center"/>
          </w:tcPr>
          <w:p>
            <w:pPr>
              <w:jc w:val="center"/>
              <w:rPr>
                <w:rFonts w:ascii="仿宋" w:hAnsi="仿宋" w:eastAsia="仿宋"/>
                <w:b/>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trPr>
        <w:tc>
          <w:tcPr>
            <w:tcW w:w="791" w:type="dxa"/>
            <w:vAlign w:val="center"/>
          </w:tcPr>
          <w:p>
            <w:pPr>
              <w:jc w:val="center"/>
              <w:rPr>
                <w:rFonts w:ascii="仿宋" w:hAnsi="仿宋" w:eastAsia="仿宋"/>
                <w:b/>
                <w:color w:val="000000"/>
                <w:szCs w:val="21"/>
              </w:rPr>
            </w:pPr>
          </w:p>
        </w:tc>
        <w:tc>
          <w:tcPr>
            <w:tcW w:w="1039" w:type="dxa"/>
            <w:vAlign w:val="center"/>
          </w:tcPr>
          <w:p>
            <w:pPr>
              <w:jc w:val="center"/>
              <w:rPr>
                <w:rFonts w:ascii="仿宋" w:hAnsi="仿宋" w:eastAsia="仿宋"/>
                <w:b/>
                <w:color w:val="000000"/>
                <w:szCs w:val="21"/>
              </w:rPr>
            </w:pPr>
          </w:p>
        </w:tc>
        <w:tc>
          <w:tcPr>
            <w:tcW w:w="2100" w:type="dxa"/>
            <w:tcBorders>
              <w:right w:val="single" w:color="auto" w:sz="4" w:space="0"/>
            </w:tcBorders>
            <w:vAlign w:val="center"/>
          </w:tcPr>
          <w:p>
            <w:pPr>
              <w:jc w:val="center"/>
              <w:rPr>
                <w:rFonts w:ascii="仿宋" w:hAnsi="仿宋" w:eastAsia="仿宋"/>
                <w:b/>
                <w:color w:val="000000"/>
                <w:szCs w:val="21"/>
              </w:rPr>
            </w:pPr>
          </w:p>
        </w:tc>
        <w:tc>
          <w:tcPr>
            <w:tcW w:w="1590" w:type="dxa"/>
            <w:tcBorders>
              <w:right w:val="single" w:color="auto" w:sz="4" w:space="0"/>
            </w:tcBorders>
            <w:vAlign w:val="center"/>
          </w:tcPr>
          <w:p>
            <w:pPr>
              <w:jc w:val="center"/>
              <w:rPr>
                <w:rFonts w:ascii="仿宋" w:hAnsi="仿宋" w:eastAsia="仿宋"/>
                <w:b/>
                <w:color w:val="000000"/>
                <w:szCs w:val="21"/>
              </w:rPr>
            </w:pPr>
          </w:p>
        </w:tc>
        <w:tc>
          <w:tcPr>
            <w:tcW w:w="1755" w:type="dxa"/>
            <w:tcBorders>
              <w:right w:val="single" w:color="auto" w:sz="4" w:space="0"/>
            </w:tcBorders>
            <w:vAlign w:val="center"/>
          </w:tcPr>
          <w:p>
            <w:pPr>
              <w:jc w:val="center"/>
              <w:rPr>
                <w:rFonts w:ascii="仿宋" w:hAnsi="仿宋" w:eastAsia="仿宋"/>
                <w:b/>
                <w:color w:val="000000"/>
                <w:szCs w:val="21"/>
              </w:rPr>
            </w:pPr>
          </w:p>
        </w:tc>
        <w:tc>
          <w:tcPr>
            <w:tcW w:w="2565" w:type="dxa"/>
            <w:tcBorders>
              <w:left w:val="single" w:color="auto" w:sz="4" w:space="0"/>
              <w:right w:val="single" w:color="auto" w:sz="4" w:space="0"/>
            </w:tcBorders>
          </w:tcPr>
          <w:p>
            <w:pPr>
              <w:jc w:val="center"/>
              <w:rPr>
                <w:rFonts w:ascii="仿宋" w:hAnsi="仿宋" w:eastAsia="仿宋"/>
                <w:b/>
                <w:color w:val="000000"/>
                <w:szCs w:val="21"/>
              </w:rPr>
            </w:pPr>
          </w:p>
        </w:tc>
        <w:tc>
          <w:tcPr>
            <w:tcW w:w="2175" w:type="dxa"/>
            <w:tcBorders>
              <w:left w:val="single" w:color="auto" w:sz="4" w:space="0"/>
            </w:tcBorders>
            <w:vAlign w:val="center"/>
          </w:tcPr>
          <w:p>
            <w:pPr>
              <w:jc w:val="center"/>
              <w:rPr>
                <w:rFonts w:ascii="仿宋" w:hAnsi="仿宋" w:eastAsia="仿宋"/>
                <w:b/>
                <w:color w:val="000000"/>
                <w:szCs w:val="21"/>
              </w:rPr>
            </w:pPr>
          </w:p>
        </w:tc>
        <w:tc>
          <w:tcPr>
            <w:tcW w:w="735" w:type="dxa"/>
          </w:tcPr>
          <w:p>
            <w:pPr>
              <w:jc w:val="center"/>
              <w:rPr>
                <w:rFonts w:ascii="仿宋" w:hAnsi="仿宋" w:eastAsia="仿宋"/>
                <w:b/>
                <w:color w:val="000000"/>
                <w:szCs w:val="21"/>
              </w:rPr>
            </w:pPr>
          </w:p>
        </w:tc>
        <w:tc>
          <w:tcPr>
            <w:tcW w:w="810" w:type="dxa"/>
            <w:vAlign w:val="center"/>
          </w:tcPr>
          <w:p>
            <w:pPr>
              <w:jc w:val="center"/>
              <w:rPr>
                <w:rFonts w:ascii="仿宋" w:hAnsi="仿宋" w:eastAsia="仿宋"/>
                <w:b/>
                <w:color w:val="000000"/>
                <w:szCs w:val="21"/>
              </w:rPr>
            </w:pPr>
          </w:p>
        </w:tc>
        <w:tc>
          <w:tcPr>
            <w:tcW w:w="765" w:type="dxa"/>
            <w:vAlign w:val="center"/>
          </w:tcPr>
          <w:p>
            <w:pPr>
              <w:jc w:val="center"/>
              <w:rPr>
                <w:rFonts w:ascii="仿宋" w:hAnsi="仿宋" w:eastAsia="仿宋"/>
                <w:b/>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trPr>
        <w:tc>
          <w:tcPr>
            <w:tcW w:w="791" w:type="dxa"/>
            <w:vAlign w:val="center"/>
          </w:tcPr>
          <w:p>
            <w:pPr>
              <w:jc w:val="center"/>
              <w:rPr>
                <w:rFonts w:ascii="仿宋" w:hAnsi="仿宋" w:eastAsia="仿宋"/>
                <w:b/>
                <w:color w:val="000000"/>
                <w:szCs w:val="21"/>
              </w:rPr>
            </w:pPr>
          </w:p>
        </w:tc>
        <w:tc>
          <w:tcPr>
            <w:tcW w:w="1039" w:type="dxa"/>
            <w:vAlign w:val="center"/>
          </w:tcPr>
          <w:p>
            <w:pPr>
              <w:jc w:val="center"/>
              <w:rPr>
                <w:rFonts w:ascii="仿宋" w:hAnsi="仿宋" w:eastAsia="仿宋"/>
                <w:b/>
                <w:color w:val="000000"/>
                <w:szCs w:val="21"/>
              </w:rPr>
            </w:pPr>
          </w:p>
        </w:tc>
        <w:tc>
          <w:tcPr>
            <w:tcW w:w="2100" w:type="dxa"/>
            <w:tcBorders>
              <w:right w:val="single" w:color="auto" w:sz="4" w:space="0"/>
            </w:tcBorders>
            <w:vAlign w:val="center"/>
          </w:tcPr>
          <w:p>
            <w:pPr>
              <w:jc w:val="center"/>
              <w:rPr>
                <w:rFonts w:ascii="仿宋" w:hAnsi="仿宋" w:eastAsia="仿宋"/>
                <w:b/>
                <w:color w:val="000000"/>
                <w:szCs w:val="21"/>
              </w:rPr>
            </w:pPr>
          </w:p>
        </w:tc>
        <w:tc>
          <w:tcPr>
            <w:tcW w:w="1590" w:type="dxa"/>
            <w:tcBorders>
              <w:right w:val="single" w:color="auto" w:sz="4" w:space="0"/>
            </w:tcBorders>
            <w:vAlign w:val="center"/>
          </w:tcPr>
          <w:p>
            <w:pPr>
              <w:jc w:val="center"/>
              <w:rPr>
                <w:rFonts w:ascii="仿宋" w:hAnsi="仿宋" w:eastAsia="仿宋"/>
                <w:b/>
                <w:color w:val="000000"/>
                <w:szCs w:val="21"/>
              </w:rPr>
            </w:pPr>
          </w:p>
        </w:tc>
        <w:tc>
          <w:tcPr>
            <w:tcW w:w="1755" w:type="dxa"/>
            <w:tcBorders>
              <w:right w:val="single" w:color="auto" w:sz="4" w:space="0"/>
            </w:tcBorders>
            <w:vAlign w:val="center"/>
          </w:tcPr>
          <w:p>
            <w:pPr>
              <w:jc w:val="center"/>
              <w:rPr>
                <w:rFonts w:ascii="仿宋" w:hAnsi="仿宋" w:eastAsia="仿宋"/>
                <w:b/>
                <w:color w:val="000000"/>
                <w:szCs w:val="21"/>
              </w:rPr>
            </w:pPr>
          </w:p>
        </w:tc>
        <w:tc>
          <w:tcPr>
            <w:tcW w:w="2565" w:type="dxa"/>
            <w:tcBorders>
              <w:left w:val="single" w:color="auto" w:sz="4" w:space="0"/>
              <w:right w:val="single" w:color="auto" w:sz="4" w:space="0"/>
            </w:tcBorders>
          </w:tcPr>
          <w:p>
            <w:pPr>
              <w:jc w:val="center"/>
              <w:rPr>
                <w:rFonts w:ascii="仿宋" w:hAnsi="仿宋" w:eastAsia="仿宋"/>
                <w:b/>
                <w:color w:val="000000"/>
                <w:szCs w:val="21"/>
              </w:rPr>
            </w:pPr>
          </w:p>
        </w:tc>
        <w:tc>
          <w:tcPr>
            <w:tcW w:w="2175" w:type="dxa"/>
            <w:tcBorders>
              <w:left w:val="single" w:color="auto" w:sz="4" w:space="0"/>
            </w:tcBorders>
            <w:vAlign w:val="center"/>
          </w:tcPr>
          <w:p>
            <w:pPr>
              <w:jc w:val="center"/>
              <w:rPr>
                <w:rFonts w:ascii="仿宋" w:hAnsi="仿宋" w:eastAsia="仿宋"/>
                <w:b/>
                <w:color w:val="000000"/>
                <w:szCs w:val="21"/>
              </w:rPr>
            </w:pPr>
          </w:p>
        </w:tc>
        <w:tc>
          <w:tcPr>
            <w:tcW w:w="735" w:type="dxa"/>
          </w:tcPr>
          <w:p>
            <w:pPr>
              <w:jc w:val="center"/>
              <w:rPr>
                <w:rFonts w:ascii="仿宋" w:hAnsi="仿宋" w:eastAsia="仿宋"/>
                <w:b/>
                <w:color w:val="000000"/>
                <w:szCs w:val="21"/>
              </w:rPr>
            </w:pPr>
          </w:p>
        </w:tc>
        <w:tc>
          <w:tcPr>
            <w:tcW w:w="810" w:type="dxa"/>
            <w:vAlign w:val="center"/>
          </w:tcPr>
          <w:p>
            <w:pPr>
              <w:jc w:val="center"/>
              <w:rPr>
                <w:rFonts w:ascii="仿宋" w:hAnsi="仿宋" w:eastAsia="仿宋"/>
                <w:b/>
                <w:color w:val="000000"/>
                <w:szCs w:val="21"/>
              </w:rPr>
            </w:pPr>
          </w:p>
        </w:tc>
        <w:tc>
          <w:tcPr>
            <w:tcW w:w="765" w:type="dxa"/>
            <w:vAlign w:val="center"/>
          </w:tcPr>
          <w:p>
            <w:pPr>
              <w:jc w:val="center"/>
              <w:rPr>
                <w:rFonts w:ascii="仿宋" w:hAnsi="仿宋" w:eastAsia="仿宋"/>
                <w:b/>
                <w:color w:val="000000"/>
                <w:szCs w:val="21"/>
              </w:rPr>
            </w:pPr>
          </w:p>
        </w:tc>
      </w:tr>
    </w:tbl>
    <w:p>
      <w:pPr>
        <w:pStyle w:val="2"/>
        <w:rPr>
          <w:rFonts w:hint="eastAsia" w:ascii="仿宋" w:hAnsi="仿宋" w:eastAsia="仿宋"/>
          <w:b/>
          <w:bCs/>
          <w:color w:val="000000"/>
          <w:sz w:val="24"/>
        </w:rPr>
      </w:pPr>
    </w:p>
    <w:p>
      <w:pPr>
        <w:pStyle w:val="2"/>
        <w:rPr>
          <w:rFonts w:hint="eastAsia" w:ascii="仿宋" w:hAnsi="仿宋" w:eastAsia="仿宋"/>
          <w:b/>
          <w:bCs/>
          <w:color w:val="000000"/>
          <w:sz w:val="24"/>
        </w:rPr>
      </w:pPr>
    </w:p>
    <w:p>
      <w:pPr>
        <w:pStyle w:val="2"/>
        <w:rPr>
          <w:rFonts w:hint="eastAsia" w:ascii="仿宋" w:hAnsi="仿宋" w:eastAsia="仿宋"/>
          <w:b/>
          <w:bCs/>
          <w:color w:val="000000"/>
          <w:sz w:val="24"/>
        </w:rPr>
      </w:pPr>
    </w:p>
    <w:p>
      <w:pPr>
        <w:widowControl/>
        <w:snapToGrid w:val="0"/>
        <w:ind w:left="480" w:firstLine="480"/>
        <w:jc w:val="left"/>
        <w:rPr>
          <w:rFonts w:ascii="仿宋" w:hAnsi="仿宋" w:eastAsia="仿宋"/>
          <w:color w:val="000000"/>
          <w:sz w:val="24"/>
        </w:rPr>
      </w:pPr>
    </w:p>
    <w:p>
      <w:pPr>
        <w:widowControl/>
        <w:numPr>
          <w:ilvl w:val="0"/>
          <w:numId w:val="2"/>
        </w:numPr>
        <w:snapToGrid w:val="0"/>
        <w:ind w:left="0" w:firstLine="482" w:firstLineChars="200"/>
        <w:jc w:val="left"/>
        <w:rPr>
          <w:rFonts w:hint="eastAsia" w:ascii="仿宋" w:hAnsi="仿宋" w:eastAsia="仿宋"/>
          <w:b/>
          <w:bCs/>
          <w:color w:val="000000"/>
          <w:sz w:val="24"/>
        </w:rPr>
      </w:pPr>
      <w:r>
        <w:rPr>
          <w:rFonts w:hint="eastAsia" w:ascii="仿宋" w:hAnsi="仿宋" w:eastAsia="仿宋"/>
          <w:b/>
          <w:bCs/>
          <w:color w:val="000000"/>
          <w:sz w:val="24"/>
        </w:rPr>
        <w:t>专业（技能）方向课程</w:t>
      </w:r>
    </w:p>
    <w:tbl>
      <w:tblPr>
        <w:tblStyle w:val="9"/>
        <w:tblpPr w:leftFromText="180" w:rightFromText="180" w:vertAnchor="text" w:horzAnchor="page" w:tblpX="1491" w:tblpY="554"/>
        <w:tblOverlap w:val="never"/>
        <w:tblW w:w="1399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0"/>
        <w:gridCol w:w="1155"/>
        <w:gridCol w:w="2040"/>
        <w:gridCol w:w="1620"/>
        <w:gridCol w:w="1770"/>
        <w:gridCol w:w="2610"/>
        <w:gridCol w:w="2070"/>
        <w:gridCol w:w="705"/>
        <w:gridCol w:w="660"/>
        <w:gridCol w:w="6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9" w:hRule="atLeast"/>
          <w:tblHeader/>
        </w:trPr>
        <w:tc>
          <w:tcPr>
            <w:tcW w:w="690" w:type="dxa"/>
            <w:vAlign w:val="center"/>
          </w:tcPr>
          <w:p>
            <w:pPr>
              <w:adjustRightInd w:val="0"/>
              <w:snapToGrid w:val="0"/>
              <w:spacing w:before="120" w:beforeLines="50" w:after="120" w:afterLines="50"/>
              <w:jc w:val="center"/>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课</w:t>
            </w:r>
            <w:r>
              <w:rPr>
                <w:rFonts w:hint="eastAsia" w:asciiTheme="minorEastAsia" w:hAnsiTheme="minorEastAsia" w:eastAsiaTheme="minorEastAsia" w:cstheme="minorEastAsia"/>
                <w:b/>
                <w:color w:val="000000"/>
                <w:szCs w:val="21"/>
                <w:lang w:eastAsia="zh-CN"/>
              </w:rPr>
              <w:t>课</w:t>
            </w:r>
            <w:r>
              <w:rPr>
                <w:rFonts w:hint="eastAsia" w:asciiTheme="minorEastAsia" w:hAnsiTheme="minorEastAsia" w:eastAsiaTheme="minorEastAsia" w:cstheme="minorEastAsia"/>
                <w:b/>
                <w:color w:val="000000"/>
                <w:szCs w:val="21"/>
              </w:rPr>
              <w:t>程名称</w:t>
            </w:r>
          </w:p>
        </w:tc>
        <w:tc>
          <w:tcPr>
            <w:tcW w:w="1155" w:type="dxa"/>
            <w:vAlign w:val="center"/>
          </w:tcPr>
          <w:p>
            <w:pPr>
              <w:adjustRightInd w:val="0"/>
              <w:snapToGrid w:val="0"/>
              <w:spacing w:before="120" w:beforeLines="50" w:after="120" w:afterLines="50"/>
              <w:jc w:val="center"/>
              <w:rPr>
                <w:rFonts w:hint="eastAsia" w:asciiTheme="minorEastAsia" w:hAnsiTheme="minorEastAsia" w:eastAsiaTheme="minorEastAsia" w:cstheme="minorEastAsia"/>
                <w:b/>
                <w:bCs/>
                <w:color w:val="000000" w:themeColor="text1"/>
                <w:sz w:val="32"/>
                <w:szCs w:val="21"/>
              </w:rPr>
            </w:pPr>
            <w:r>
              <w:rPr>
                <w:rFonts w:hint="eastAsia" w:asciiTheme="minorEastAsia" w:hAnsiTheme="minorEastAsia" w:eastAsiaTheme="minorEastAsia" w:cstheme="minorEastAsia"/>
                <w:b/>
                <w:color w:val="000000" w:themeColor="text1"/>
                <w:kern w:val="0"/>
                <w:szCs w:val="21"/>
                <w:lang w:eastAsia="zh-CN"/>
              </w:rPr>
              <w:t>课课程目标</w:t>
            </w:r>
          </w:p>
        </w:tc>
        <w:tc>
          <w:tcPr>
            <w:tcW w:w="2040" w:type="dxa"/>
            <w:tcBorders>
              <w:right w:val="single" w:color="auto" w:sz="4" w:space="0"/>
            </w:tcBorders>
            <w:vAlign w:val="center"/>
          </w:tcPr>
          <w:p>
            <w:pPr>
              <w:adjustRightInd w:val="0"/>
              <w:snapToGrid w:val="0"/>
              <w:spacing w:before="120" w:beforeLines="50" w:after="120" w:afterLines="50"/>
              <w:jc w:val="center"/>
              <w:rPr>
                <w:rFonts w:hint="eastAsia" w:asciiTheme="minorEastAsia" w:hAnsiTheme="minorEastAsia" w:eastAsiaTheme="minorEastAsia" w:cstheme="minorEastAsia"/>
                <w:b/>
                <w:color w:val="000000" w:themeColor="text1"/>
                <w:kern w:val="0"/>
                <w:szCs w:val="21"/>
              </w:rPr>
            </w:pPr>
            <w:r>
              <w:rPr>
                <w:rFonts w:hint="eastAsia" w:asciiTheme="minorEastAsia" w:hAnsiTheme="minorEastAsia" w:eastAsiaTheme="minorEastAsia" w:cstheme="minorEastAsia"/>
                <w:b/>
                <w:color w:val="000000" w:themeColor="text1"/>
                <w:kern w:val="0"/>
                <w:szCs w:val="21"/>
              </w:rPr>
              <w:t>主</w:t>
            </w:r>
            <w:r>
              <w:rPr>
                <w:rFonts w:hint="eastAsia" w:asciiTheme="minorEastAsia" w:hAnsiTheme="minorEastAsia" w:eastAsiaTheme="minorEastAsia" w:cstheme="minorEastAsia"/>
                <w:b/>
                <w:color w:val="000000" w:themeColor="text1"/>
                <w:kern w:val="0"/>
                <w:szCs w:val="21"/>
                <w:lang w:eastAsia="zh-CN"/>
              </w:rPr>
              <w:t>主</w:t>
            </w:r>
            <w:r>
              <w:rPr>
                <w:rFonts w:hint="eastAsia" w:asciiTheme="minorEastAsia" w:hAnsiTheme="minorEastAsia" w:eastAsiaTheme="minorEastAsia" w:cstheme="minorEastAsia"/>
                <w:b/>
                <w:color w:val="000000" w:themeColor="text1"/>
                <w:kern w:val="0"/>
                <w:szCs w:val="21"/>
              </w:rPr>
              <w:t>要教学内容与要求</w:t>
            </w:r>
          </w:p>
        </w:tc>
        <w:tc>
          <w:tcPr>
            <w:tcW w:w="1620" w:type="dxa"/>
            <w:tcBorders>
              <w:right w:val="single" w:color="auto" w:sz="4" w:space="0"/>
            </w:tcBorders>
            <w:vAlign w:val="center"/>
          </w:tcPr>
          <w:p>
            <w:pPr>
              <w:adjustRightInd w:val="0"/>
              <w:snapToGrid w:val="0"/>
              <w:spacing w:before="120" w:beforeLines="50" w:after="120" w:afterLines="50"/>
              <w:jc w:val="center"/>
              <w:rPr>
                <w:rFonts w:hint="eastAsia" w:asciiTheme="minorEastAsia" w:hAnsiTheme="minorEastAsia" w:eastAsiaTheme="minorEastAsia" w:cstheme="minorEastAsia"/>
                <w:b/>
                <w:color w:val="000000" w:themeColor="text1"/>
                <w:kern w:val="0"/>
                <w:szCs w:val="21"/>
                <w:lang w:eastAsia="zh-CN"/>
              </w:rPr>
            </w:pPr>
            <w:r>
              <w:rPr>
                <w:rFonts w:hint="eastAsia" w:asciiTheme="minorEastAsia" w:hAnsiTheme="minorEastAsia" w:eastAsiaTheme="minorEastAsia" w:cstheme="minorEastAsia"/>
                <w:b/>
                <w:color w:val="000000" w:themeColor="text1"/>
                <w:kern w:val="0"/>
                <w:szCs w:val="21"/>
                <w:lang w:eastAsia="zh-CN"/>
              </w:rPr>
              <w:t>主主要教学方法</w:t>
            </w:r>
          </w:p>
        </w:tc>
        <w:tc>
          <w:tcPr>
            <w:tcW w:w="1770" w:type="dxa"/>
            <w:tcBorders>
              <w:right w:val="single" w:color="auto" w:sz="4" w:space="0"/>
            </w:tcBorders>
            <w:vAlign w:val="center"/>
          </w:tcPr>
          <w:p>
            <w:pPr>
              <w:adjustRightInd w:val="0"/>
              <w:snapToGrid w:val="0"/>
              <w:spacing w:before="120" w:beforeLines="50" w:after="120" w:afterLines="50"/>
              <w:jc w:val="center"/>
              <w:rPr>
                <w:rFonts w:hint="eastAsia" w:asciiTheme="minorEastAsia" w:hAnsiTheme="minorEastAsia" w:eastAsiaTheme="minorEastAsia" w:cstheme="minorEastAsia"/>
                <w:b/>
                <w:bCs/>
                <w:color w:val="000000" w:themeColor="text1"/>
                <w:sz w:val="32"/>
                <w:szCs w:val="21"/>
              </w:rPr>
            </w:pPr>
            <w:r>
              <w:rPr>
                <w:rFonts w:hint="eastAsia" w:asciiTheme="minorEastAsia" w:hAnsiTheme="minorEastAsia" w:eastAsiaTheme="minorEastAsia" w:cstheme="minorEastAsia"/>
                <w:b/>
                <w:color w:val="000000" w:themeColor="text1"/>
                <w:szCs w:val="21"/>
              </w:rPr>
              <w:t>主</w:t>
            </w:r>
            <w:r>
              <w:rPr>
                <w:rFonts w:hint="eastAsia" w:asciiTheme="minorEastAsia" w:hAnsiTheme="minorEastAsia" w:eastAsiaTheme="minorEastAsia" w:cstheme="minorEastAsia"/>
                <w:b/>
                <w:color w:val="000000" w:themeColor="text1"/>
                <w:szCs w:val="21"/>
                <w:lang w:eastAsia="zh-CN"/>
              </w:rPr>
              <w:t>主</w:t>
            </w:r>
            <w:r>
              <w:rPr>
                <w:rFonts w:hint="eastAsia" w:asciiTheme="minorEastAsia" w:hAnsiTheme="minorEastAsia" w:eastAsiaTheme="minorEastAsia" w:cstheme="minorEastAsia"/>
                <w:b/>
                <w:color w:val="000000" w:themeColor="text1"/>
                <w:szCs w:val="21"/>
              </w:rPr>
              <w:t>要技能与要求</w:t>
            </w:r>
          </w:p>
        </w:tc>
        <w:tc>
          <w:tcPr>
            <w:tcW w:w="2610" w:type="dxa"/>
            <w:tcBorders>
              <w:left w:val="single" w:color="auto" w:sz="4" w:space="0"/>
              <w:right w:val="single" w:color="auto" w:sz="4" w:space="0"/>
            </w:tcBorders>
          </w:tcPr>
          <w:p>
            <w:pPr>
              <w:adjustRightInd w:val="0"/>
              <w:snapToGrid w:val="0"/>
              <w:spacing w:before="120" w:beforeLines="50" w:after="120" w:afterLines="50"/>
              <w:jc w:val="center"/>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课</w:t>
            </w:r>
            <w:r>
              <w:rPr>
                <w:rFonts w:hint="eastAsia" w:asciiTheme="minorEastAsia" w:hAnsiTheme="minorEastAsia" w:eastAsiaTheme="minorEastAsia" w:cstheme="minorEastAsia"/>
                <w:b/>
                <w:color w:val="000000"/>
                <w:szCs w:val="21"/>
                <w:lang w:eastAsia="zh-CN"/>
              </w:rPr>
              <w:t>课</w:t>
            </w:r>
            <w:r>
              <w:rPr>
                <w:rFonts w:hint="eastAsia" w:asciiTheme="minorEastAsia" w:hAnsiTheme="minorEastAsia" w:eastAsiaTheme="minorEastAsia" w:cstheme="minorEastAsia"/>
                <w:b/>
                <w:color w:val="000000"/>
                <w:szCs w:val="21"/>
              </w:rPr>
              <w:t>程思政、励园文化融合点要求</w:t>
            </w:r>
          </w:p>
        </w:tc>
        <w:tc>
          <w:tcPr>
            <w:tcW w:w="2070" w:type="dxa"/>
            <w:tcBorders>
              <w:left w:val="single" w:color="auto" w:sz="4" w:space="0"/>
            </w:tcBorders>
            <w:vAlign w:val="center"/>
          </w:tcPr>
          <w:p>
            <w:pPr>
              <w:adjustRightInd w:val="0"/>
              <w:snapToGrid w:val="0"/>
              <w:spacing w:before="120" w:beforeLines="50" w:after="120" w:afterLines="50"/>
              <w:jc w:val="center"/>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创</w:t>
            </w:r>
            <w:r>
              <w:rPr>
                <w:rFonts w:hint="eastAsia" w:asciiTheme="minorEastAsia" w:hAnsiTheme="minorEastAsia" w:eastAsiaTheme="minorEastAsia" w:cstheme="minorEastAsia"/>
                <w:b/>
                <w:color w:val="000000"/>
                <w:szCs w:val="21"/>
                <w:lang w:eastAsia="zh-CN"/>
              </w:rPr>
              <w:t>创</w:t>
            </w:r>
            <w:r>
              <w:rPr>
                <w:rFonts w:hint="eastAsia" w:asciiTheme="minorEastAsia" w:hAnsiTheme="minorEastAsia" w:eastAsiaTheme="minorEastAsia" w:cstheme="minorEastAsia"/>
                <w:b/>
                <w:color w:val="000000"/>
                <w:szCs w:val="21"/>
              </w:rPr>
              <w:t>新创业创造融合点要求</w:t>
            </w:r>
          </w:p>
        </w:tc>
        <w:tc>
          <w:tcPr>
            <w:tcW w:w="705" w:type="dxa"/>
            <w:vAlign w:val="center"/>
          </w:tcPr>
          <w:p>
            <w:pPr>
              <w:adjustRightInd w:val="0"/>
              <w:snapToGrid w:val="0"/>
              <w:spacing w:before="120" w:beforeLines="50" w:after="120" w:afterLines="50"/>
              <w:jc w:val="center"/>
              <w:rPr>
                <w:rFonts w:hint="eastAsia" w:asciiTheme="minorEastAsia" w:hAnsiTheme="minorEastAsia" w:eastAsiaTheme="minorEastAsia" w:cstheme="minorEastAsia"/>
                <w:b/>
                <w:bCs/>
                <w:color w:val="000000"/>
                <w:sz w:val="32"/>
                <w:szCs w:val="21"/>
              </w:rPr>
            </w:pPr>
            <w:r>
              <w:rPr>
                <w:rFonts w:hint="eastAsia" w:asciiTheme="minorEastAsia" w:hAnsiTheme="minorEastAsia" w:eastAsiaTheme="minorEastAsia" w:cstheme="minorEastAsia"/>
                <w:b/>
                <w:color w:val="000000"/>
                <w:szCs w:val="21"/>
              </w:rPr>
              <w:t>考</w:t>
            </w:r>
            <w:r>
              <w:rPr>
                <w:rFonts w:hint="eastAsia" w:asciiTheme="minorEastAsia" w:hAnsiTheme="minorEastAsia" w:eastAsiaTheme="minorEastAsia" w:cstheme="minorEastAsia"/>
                <w:b/>
                <w:color w:val="000000"/>
                <w:szCs w:val="21"/>
                <w:lang w:eastAsia="zh-CN"/>
              </w:rPr>
              <w:t>考</w:t>
            </w:r>
            <w:r>
              <w:rPr>
                <w:rFonts w:hint="eastAsia" w:asciiTheme="minorEastAsia" w:hAnsiTheme="minorEastAsia" w:eastAsiaTheme="minorEastAsia" w:cstheme="minorEastAsia"/>
                <w:b/>
                <w:color w:val="000000"/>
                <w:szCs w:val="21"/>
              </w:rPr>
              <w:t>核</w:t>
            </w:r>
          </w:p>
        </w:tc>
        <w:tc>
          <w:tcPr>
            <w:tcW w:w="660" w:type="dxa"/>
            <w:vAlign w:val="center"/>
          </w:tcPr>
          <w:p>
            <w:pPr>
              <w:adjustRightInd w:val="0"/>
              <w:snapToGrid w:val="0"/>
              <w:spacing w:before="120" w:beforeLines="50" w:after="120" w:afterLines="50"/>
              <w:jc w:val="center"/>
              <w:rPr>
                <w:rFonts w:hint="eastAsia" w:asciiTheme="minorEastAsia" w:hAnsiTheme="minorEastAsia" w:eastAsiaTheme="minorEastAsia" w:cstheme="minorEastAsia"/>
                <w:b/>
                <w:bCs/>
                <w:color w:val="000000"/>
                <w:sz w:val="32"/>
                <w:szCs w:val="21"/>
              </w:rPr>
            </w:pPr>
            <w:r>
              <w:rPr>
                <w:rFonts w:hint="eastAsia" w:asciiTheme="minorEastAsia" w:hAnsiTheme="minorEastAsia" w:eastAsiaTheme="minorEastAsia" w:cstheme="minorEastAsia"/>
                <w:b/>
                <w:color w:val="000000"/>
                <w:szCs w:val="21"/>
              </w:rPr>
              <w:t>学</w:t>
            </w:r>
            <w:r>
              <w:rPr>
                <w:rFonts w:hint="eastAsia" w:asciiTheme="minorEastAsia" w:hAnsiTheme="minorEastAsia" w:eastAsiaTheme="minorEastAsia" w:cstheme="minorEastAsia"/>
                <w:b/>
                <w:color w:val="000000"/>
                <w:szCs w:val="21"/>
                <w:lang w:eastAsia="zh-CN"/>
              </w:rPr>
              <w:t>学</w:t>
            </w:r>
            <w:r>
              <w:rPr>
                <w:rFonts w:hint="eastAsia" w:asciiTheme="minorEastAsia" w:hAnsiTheme="minorEastAsia" w:eastAsiaTheme="minorEastAsia" w:cstheme="minorEastAsia"/>
                <w:b/>
                <w:color w:val="000000"/>
                <w:szCs w:val="21"/>
              </w:rPr>
              <w:t>期</w:t>
            </w:r>
          </w:p>
        </w:tc>
        <w:tc>
          <w:tcPr>
            <w:tcW w:w="675" w:type="dxa"/>
            <w:vAlign w:val="center"/>
          </w:tcPr>
          <w:p>
            <w:pPr>
              <w:adjustRightInd w:val="0"/>
              <w:snapToGrid w:val="0"/>
              <w:spacing w:before="120" w:beforeLines="50" w:after="120" w:afterLines="50"/>
              <w:jc w:val="center"/>
              <w:rPr>
                <w:rFonts w:hint="eastAsia" w:asciiTheme="minorEastAsia" w:hAnsiTheme="minorEastAsia" w:eastAsiaTheme="minorEastAsia" w:cstheme="minorEastAsia"/>
                <w:b/>
                <w:bCs/>
                <w:color w:val="000000"/>
                <w:sz w:val="32"/>
                <w:szCs w:val="21"/>
              </w:rPr>
            </w:pPr>
            <w:r>
              <w:rPr>
                <w:rFonts w:hint="eastAsia" w:asciiTheme="minorEastAsia" w:hAnsiTheme="minorEastAsia" w:eastAsiaTheme="minorEastAsia" w:cstheme="minorEastAsia"/>
                <w:b/>
                <w:color w:val="000000"/>
                <w:szCs w:val="21"/>
              </w:rPr>
              <w:t>学</w:t>
            </w:r>
            <w:r>
              <w:rPr>
                <w:rFonts w:hint="eastAsia" w:asciiTheme="minorEastAsia" w:hAnsiTheme="minorEastAsia" w:eastAsiaTheme="minorEastAsia" w:cstheme="minorEastAsia"/>
                <w:b/>
                <w:color w:val="000000"/>
                <w:szCs w:val="21"/>
                <w:lang w:eastAsia="zh-CN"/>
              </w:rPr>
              <w:t>学</w:t>
            </w:r>
            <w:r>
              <w:rPr>
                <w:rFonts w:hint="eastAsia" w:asciiTheme="minorEastAsia" w:hAnsiTheme="minorEastAsia" w:eastAsiaTheme="minorEastAsia" w:cstheme="minorEastAsia"/>
                <w:b/>
                <w:color w:val="000000"/>
                <w:szCs w:val="21"/>
              </w:rPr>
              <w:t>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trPr>
        <w:tc>
          <w:tcPr>
            <w:tcW w:w="690" w:type="dxa"/>
            <w:vAlign w:val="center"/>
          </w:tcPr>
          <w:p>
            <w:pPr>
              <w:jc w:val="center"/>
              <w:rPr>
                <w:rFonts w:ascii="仿宋" w:hAnsi="仿宋" w:eastAsia="仿宋"/>
                <w:b/>
                <w:color w:val="000000"/>
                <w:szCs w:val="21"/>
              </w:rPr>
            </w:pPr>
          </w:p>
        </w:tc>
        <w:tc>
          <w:tcPr>
            <w:tcW w:w="1155" w:type="dxa"/>
            <w:vAlign w:val="center"/>
          </w:tcPr>
          <w:p>
            <w:pPr>
              <w:jc w:val="center"/>
              <w:rPr>
                <w:rFonts w:ascii="仿宋" w:hAnsi="仿宋" w:eastAsia="仿宋"/>
                <w:b/>
                <w:color w:val="000000"/>
                <w:szCs w:val="21"/>
              </w:rPr>
            </w:pPr>
          </w:p>
        </w:tc>
        <w:tc>
          <w:tcPr>
            <w:tcW w:w="2040" w:type="dxa"/>
            <w:tcBorders>
              <w:right w:val="single" w:color="auto" w:sz="4" w:space="0"/>
            </w:tcBorders>
            <w:vAlign w:val="center"/>
          </w:tcPr>
          <w:p>
            <w:pPr>
              <w:jc w:val="center"/>
              <w:rPr>
                <w:rFonts w:ascii="仿宋" w:hAnsi="仿宋" w:eastAsia="仿宋"/>
                <w:b/>
                <w:color w:val="000000"/>
                <w:szCs w:val="21"/>
              </w:rPr>
            </w:pPr>
          </w:p>
        </w:tc>
        <w:tc>
          <w:tcPr>
            <w:tcW w:w="1620" w:type="dxa"/>
            <w:tcBorders>
              <w:right w:val="single" w:color="auto" w:sz="4" w:space="0"/>
            </w:tcBorders>
            <w:vAlign w:val="center"/>
          </w:tcPr>
          <w:p>
            <w:pPr>
              <w:jc w:val="center"/>
              <w:rPr>
                <w:rFonts w:ascii="仿宋" w:hAnsi="仿宋" w:eastAsia="仿宋"/>
                <w:b/>
                <w:color w:val="000000"/>
                <w:szCs w:val="21"/>
              </w:rPr>
            </w:pPr>
          </w:p>
        </w:tc>
        <w:tc>
          <w:tcPr>
            <w:tcW w:w="1770" w:type="dxa"/>
            <w:tcBorders>
              <w:right w:val="single" w:color="auto" w:sz="4" w:space="0"/>
            </w:tcBorders>
            <w:vAlign w:val="center"/>
          </w:tcPr>
          <w:p>
            <w:pPr>
              <w:jc w:val="center"/>
              <w:rPr>
                <w:rFonts w:ascii="仿宋" w:hAnsi="仿宋" w:eastAsia="仿宋"/>
                <w:b/>
                <w:color w:val="000000"/>
                <w:szCs w:val="21"/>
              </w:rPr>
            </w:pPr>
          </w:p>
        </w:tc>
        <w:tc>
          <w:tcPr>
            <w:tcW w:w="2610" w:type="dxa"/>
            <w:tcBorders>
              <w:left w:val="single" w:color="auto" w:sz="4" w:space="0"/>
              <w:right w:val="single" w:color="auto" w:sz="4" w:space="0"/>
            </w:tcBorders>
          </w:tcPr>
          <w:p>
            <w:pPr>
              <w:jc w:val="center"/>
              <w:rPr>
                <w:rFonts w:ascii="仿宋" w:hAnsi="仿宋" w:eastAsia="仿宋"/>
                <w:b/>
                <w:color w:val="000000"/>
                <w:szCs w:val="21"/>
              </w:rPr>
            </w:pPr>
          </w:p>
        </w:tc>
        <w:tc>
          <w:tcPr>
            <w:tcW w:w="2070" w:type="dxa"/>
            <w:tcBorders>
              <w:left w:val="single" w:color="auto" w:sz="4" w:space="0"/>
            </w:tcBorders>
            <w:vAlign w:val="center"/>
          </w:tcPr>
          <w:p>
            <w:pPr>
              <w:jc w:val="center"/>
              <w:rPr>
                <w:rFonts w:ascii="仿宋" w:hAnsi="仿宋" w:eastAsia="仿宋"/>
                <w:b/>
                <w:color w:val="000000"/>
                <w:szCs w:val="21"/>
              </w:rPr>
            </w:pPr>
          </w:p>
        </w:tc>
        <w:tc>
          <w:tcPr>
            <w:tcW w:w="705" w:type="dxa"/>
          </w:tcPr>
          <w:p>
            <w:pPr>
              <w:jc w:val="center"/>
              <w:rPr>
                <w:rFonts w:ascii="仿宋" w:hAnsi="仿宋" w:eastAsia="仿宋"/>
                <w:b/>
                <w:color w:val="000000"/>
                <w:szCs w:val="21"/>
              </w:rPr>
            </w:pPr>
          </w:p>
        </w:tc>
        <w:tc>
          <w:tcPr>
            <w:tcW w:w="660" w:type="dxa"/>
            <w:vAlign w:val="center"/>
          </w:tcPr>
          <w:p>
            <w:pPr>
              <w:jc w:val="center"/>
              <w:rPr>
                <w:rFonts w:ascii="仿宋" w:hAnsi="仿宋" w:eastAsia="仿宋"/>
                <w:b/>
                <w:color w:val="000000"/>
                <w:szCs w:val="21"/>
              </w:rPr>
            </w:pPr>
          </w:p>
        </w:tc>
        <w:tc>
          <w:tcPr>
            <w:tcW w:w="675" w:type="dxa"/>
            <w:vAlign w:val="center"/>
          </w:tcPr>
          <w:p>
            <w:pPr>
              <w:jc w:val="center"/>
              <w:rPr>
                <w:rFonts w:ascii="仿宋" w:hAnsi="仿宋" w:eastAsia="仿宋"/>
                <w:b/>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trPr>
        <w:tc>
          <w:tcPr>
            <w:tcW w:w="690" w:type="dxa"/>
            <w:vAlign w:val="center"/>
          </w:tcPr>
          <w:p>
            <w:pPr>
              <w:jc w:val="center"/>
              <w:rPr>
                <w:rFonts w:ascii="仿宋" w:hAnsi="仿宋" w:eastAsia="仿宋"/>
                <w:b/>
                <w:color w:val="000000"/>
                <w:szCs w:val="21"/>
              </w:rPr>
            </w:pPr>
          </w:p>
        </w:tc>
        <w:tc>
          <w:tcPr>
            <w:tcW w:w="1155" w:type="dxa"/>
            <w:vAlign w:val="center"/>
          </w:tcPr>
          <w:p>
            <w:pPr>
              <w:jc w:val="center"/>
              <w:rPr>
                <w:rFonts w:ascii="仿宋" w:hAnsi="仿宋" w:eastAsia="仿宋"/>
                <w:b/>
                <w:color w:val="000000"/>
                <w:szCs w:val="21"/>
              </w:rPr>
            </w:pPr>
          </w:p>
        </w:tc>
        <w:tc>
          <w:tcPr>
            <w:tcW w:w="2040" w:type="dxa"/>
            <w:tcBorders>
              <w:right w:val="single" w:color="auto" w:sz="4" w:space="0"/>
            </w:tcBorders>
            <w:vAlign w:val="center"/>
          </w:tcPr>
          <w:p>
            <w:pPr>
              <w:jc w:val="center"/>
              <w:rPr>
                <w:rFonts w:ascii="仿宋" w:hAnsi="仿宋" w:eastAsia="仿宋"/>
                <w:b/>
                <w:color w:val="000000"/>
                <w:szCs w:val="21"/>
              </w:rPr>
            </w:pPr>
          </w:p>
        </w:tc>
        <w:tc>
          <w:tcPr>
            <w:tcW w:w="1620" w:type="dxa"/>
            <w:tcBorders>
              <w:right w:val="single" w:color="auto" w:sz="4" w:space="0"/>
            </w:tcBorders>
            <w:vAlign w:val="center"/>
          </w:tcPr>
          <w:p>
            <w:pPr>
              <w:jc w:val="center"/>
              <w:rPr>
                <w:rFonts w:ascii="仿宋" w:hAnsi="仿宋" w:eastAsia="仿宋"/>
                <w:b/>
                <w:color w:val="000000"/>
                <w:szCs w:val="21"/>
              </w:rPr>
            </w:pPr>
          </w:p>
        </w:tc>
        <w:tc>
          <w:tcPr>
            <w:tcW w:w="1770" w:type="dxa"/>
            <w:tcBorders>
              <w:right w:val="single" w:color="auto" w:sz="4" w:space="0"/>
            </w:tcBorders>
            <w:vAlign w:val="center"/>
          </w:tcPr>
          <w:p>
            <w:pPr>
              <w:jc w:val="center"/>
              <w:rPr>
                <w:rFonts w:ascii="仿宋" w:hAnsi="仿宋" w:eastAsia="仿宋"/>
                <w:b/>
                <w:color w:val="000000"/>
                <w:szCs w:val="21"/>
              </w:rPr>
            </w:pPr>
          </w:p>
        </w:tc>
        <w:tc>
          <w:tcPr>
            <w:tcW w:w="2610" w:type="dxa"/>
            <w:tcBorders>
              <w:left w:val="single" w:color="auto" w:sz="4" w:space="0"/>
              <w:right w:val="single" w:color="auto" w:sz="4" w:space="0"/>
            </w:tcBorders>
          </w:tcPr>
          <w:p>
            <w:pPr>
              <w:jc w:val="center"/>
              <w:rPr>
                <w:rFonts w:ascii="仿宋" w:hAnsi="仿宋" w:eastAsia="仿宋"/>
                <w:b/>
                <w:color w:val="000000"/>
                <w:szCs w:val="21"/>
              </w:rPr>
            </w:pPr>
          </w:p>
        </w:tc>
        <w:tc>
          <w:tcPr>
            <w:tcW w:w="2070" w:type="dxa"/>
            <w:tcBorders>
              <w:left w:val="single" w:color="auto" w:sz="4" w:space="0"/>
            </w:tcBorders>
            <w:vAlign w:val="center"/>
          </w:tcPr>
          <w:p>
            <w:pPr>
              <w:jc w:val="center"/>
              <w:rPr>
                <w:rFonts w:ascii="仿宋" w:hAnsi="仿宋" w:eastAsia="仿宋"/>
                <w:b/>
                <w:color w:val="000000"/>
                <w:szCs w:val="21"/>
              </w:rPr>
            </w:pPr>
          </w:p>
        </w:tc>
        <w:tc>
          <w:tcPr>
            <w:tcW w:w="705" w:type="dxa"/>
          </w:tcPr>
          <w:p>
            <w:pPr>
              <w:jc w:val="center"/>
              <w:rPr>
                <w:rFonts w:ascii="仿宋" w:hAnsi="仿宋" w:eastAsia="仿宋"/>
                <w:b/>
                <w:color w:val="000000"/>
                <w:szCs w:val="21"/>
              </w:rPr>
            </w:pPr>
          </w:p>
        </w:tc>
        <w:tc>
          <w:tcPr>
            <w:tcW w:w="660" w:type="dxa"/>
            <w:vAlign w:val="center"/>
          </w:tcPr>
          <w:p>
            <w:pPr>
              <w:jc w:val="center"/>
              <w:rPr>
                <w:rFonts w:ascii="仿宋" w:hAnsi="仿宋" w:eastAsia="仿宋"/>
                <w:b/>
                <w:color w:val="000000"/>
                <w:szCs w:val="21"/>
              </w:rPr>
            </w:pPr>
          </w:p>
        </w:tc>
        <w:tc>
          <w:tcPr>
            <w:tcW w:w="675" w:type="dxa"/>
            <w:vAlign w:val="center"/>
          </w:tcPr>
          <w:p>
            <w:pPr>
              <w:jc w:val="center"/>
              <w:rPr>
                <w:rFonts w:ascii="仿宋" w:hAnsi="仿宋" w:eastAsia="仿宋"/>
                <w:b/>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trPr>
        <w:tc>
          <w:tcPr>
            <w:tcW w:w="690" w:type="dxa"/>
            <w:vAlign w:val="center"/>
          </w:tcPr>
          <w:p>
            <w:pPr>
              <w:jc w:val="center"/>
              <w:rPr>
                <w:rFonts w:ascii="仿宋" w:hAnsi="仿宋" w:eastAsia="仿宋"/>
                <w:b/>
                <w:color w:val="000000"/>
                <w:szCs w:val="21"/>
              </w:rPr>
            </w:pPr>
          </w:p>
        </w:tc>
        <w:tc>
          <w:tcPr>
            <w:tcW w:w="1155" w:type="dxa"/>
            <w:vAlign w:val="center"/>
          </w:tcPr>
          <w:p>
            <w:pPr>
              <w:jc w:val="center"/>
              <w:rPr>
                <w:rFonts w:ascii="仿宋" w:hAnsi="仿宋" w:eastAsia="仿宋"/>
                <w:b/>
                <w:color w:val="000000"/>
                <w:szCs w:val="21"/>
              </w:rPr>
            </w:pPr>
          </w:p>
        </w:tc>
        <w:tc>
          <w:tcPr>
            <w:tcW w:w="2040" w:type="dxa"/>
            <w:tcBorders>
              <w:right w:val="single" w:color="auto" w:sz="4" w:space="0"/>
            </w:tcBorders>
            <w:vAlign w:val="center"/>
          </w:tcPr>
          <w:p>
            <w:pPr>
              <w:jc w:val="center"/>
              <w:rPr>
                <w:rFonts w:ascii="仿宋" w:hAnsi="仿宋" w:eastAsia="仿宋"/>
                <w:b/>
                <w:color w:val="000000"/>
                <w:szCs w:val="21"/>
              </w:rPr>
            </w:pPr>
          </w:p>
        </w:tc>
        <w:tc>
          <w:tcPr>
            <w:tcW w:w="1620" w:type="dxa"/>
            <w:tcBorders>
              <w:right w:val="single" w:color="auto" w:sz="4" w:space="0"/>
            </w:tcBorders>
            <w:vAlign w:val="center"/>
          </w:tcPr>
          <w:p>
            <w:pPr>
              <w:jc w:val="center"/>
              <w:rPr>
                <w:rFonts w:ascii="仿宋" w:hAnsi="仿宋" w:eastAsia="仿宋"/>
                <w:b/>
                <w:color w:val="000000"/>
                <w:szCs w:val="21"/>
              </w:rPr>
            </w:pPr>
          </w:p>
        </w:tc>
        <w:tc>
          <w:tcPr>
            <w:tcW w:w="1770" w:type="dxa"/>
            <w:tcBorders>
              <w:right w:val="single" w:color="auto" w:sz="4" w:space="0"/>
            </w:tcBorders>
            <w:vAlign w:val="center"/>
          </w:tcPr>
          <w:p>
            <w:pPr>
              <w:jc w:val="center"/>
              <w:rPr>
                <w:rFonts w:ascii="仿宋" w:hAnsi="仿宋" w:eastAsia="仿宋"/>
                <w:b/>
                <w:color w:val="000000"/>
                <w:szCs w:val="21"/>
              </w:rPr>
            </w:pPr>
          </w:p>
        </w:tc>
        <w:tc>
          <w:tcPr>
            <w:tcW w:w="2610" w:type="dxa"/>
            <w:tcBorders>
              <w:left w:val="single" w:color="auto" w:sz="4" w:space="0"/>
              <w:right w:val="single" w:color="auto" w:sz="4" w:space="0"/>
            </w:tcBorders>
          </w:tcPr>
          <w:p>
            <w:pPr>
              <w:jc w:val="center"/>
              <w:rPr>
                <w:rFonts w:ascii="仿宋" w:hAnsi="仿宋" w:eastAsia="仿宋"/>
                <w:b/>
                <w:color w:val="000000"/>
                <w:szCs w:val="21"/>
              </w:rPr>
            </w:pPr>
          </w:p>
        </w:tc>
        <w:tc>
          <w:tcPr>
            <w:tcW w:w="2070" w:type="dxa"/>
            <w:tcBorders>
              <w:left w:val="single" w:color="auto" w:sz="4" w:space="0"/>
            </w:tcBorders>
            <w:vAlign w:val="center"/>
          </w:tcPr>
          <w:p>
            <w:pPr>
              <w:jc w:val="center"/>
              <w:rPr>
                <w:rFonts w:ascii="仿宋" w:hAnsi="仿宋" w:eastAsia="仿宋"/>
                <w:b/>
                <w:color w:val="000000"/>
                <w:szCs w:val="21"/>
              </w:rPr>
            </w:pPr>
          </w:p>
        </w:tc>
        <w:tc>
          <w:tcPr>
            <w:tcW w:w="705" w:type="dxa"/>
          </w:tcPr>
          <w:p>
            <w:pPr>
              <w:jc w:val="center"/>
              <w:rPr>
                <w:rFonts w:ascii="仿宋" w:hAnsi="仿宋" w:eastAsia="仿宋"/>
                <w:b/>
                <w:color w:val="000000"/>
                <w:szCs w:val="21"/>
              </w:rPr>
            </w:pPr>
          </w:p>
        </w:tc>
        <w:tc>
          <w:tcPr>
            <w:tcW w:w="660" w:type="dxa"/>
            <w:vAlign w:val="center"/>
          </w:tcPr>
          <w:p>
            <w:pPr>
              <w:jc w:val="center"/>
              <w:rPr>
                <w:rFonts w:ascii="仿宋" w:hAnsi="仿宋" w:eastAsia="仿宋"/>
                <w:b/>
                <w:color w:val="000000"/>
                <w:szCs w:val="21"/>
              </w:rPr>
            </w:pPr>
          </w:p>
        </w:tc>
        <w:tc>
          <w:tcPr>
            <w:tcW w:w="675" w:type="dxa"/>
            <w:vAlign w:val="center"/>
          </w:tcPr>
          <w:p>
            <w:pPr>
              <w:jc w:val="center"/>
              <w:rPr>
                <w:rFonts w:ascii="仿宋" w:hAnsi="仿宋" w:eastAsia="仿宋"/>
                <w:b/>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trPr>
        <w:tc>
          <w:tcPr>
            <w:tcW w:w="690" w:type="dxa"/>
            <w:vAlign w:val="center"/>
          </w:tcPr>
          <w:p>
            <w:pPr>
              <w:jc w:val="center"/>
              <w:rPr>
                <w:rFonts w:ascii="仿宋" w:hAnsi="仿宋" w:eastAsia="仿宋"/>
                <w:b/>
                <w:color w:val="000000"/>
                <w:szCs w:val="21"/>
              </w:rPr>
            </w:pPr>
          </w:p>
        </w:tc>
        <w:tc>
          <w:tcPr>
            <w:tcW w:w="1155" w:type="dxa"/>
            <w:vAlign w:val="center"/>
          </w:tcPr>
          <w:p>
            <w:pPr>
              <w:jc w:val="center"/>
              <w:rPr>
                <w:rFonts w:ascii="仿宋" w:hAnsi="仿宋" w:eastAsia="仿宋"/>
                <w:b/>
                <w:color w:val="000000"/>
                <w:szCs w:val="21"/>
              </w:rPr>
            </w:pPr>
          </w:p>
        </w:tc>
        <w:tc>
          <w:tcPr>
            <w:tcW w:w="2040" w:type="dxa"/>
            <w:tcBorders>
              <w:right w:val="single" w:color="auto" w:sz="4" w:space="0"/>
            </w:tcBorders>
            <w:vAlign w:val="center"/>
          </w:tcPr>
          <w:p>
            <w:pPr>
              <w:jc w:val="center"/>
              <w:rPr>
                <w:rFonts w:ascii="仿宋" w:hAnsi="仿宋" w:eastAsia="仿宋"/>
                <w:b/>
                <w:color w:val="000000"/>
                <w:szCs w:val="21"/>
              </w:rPr>
            </w:pPr>
          </w:p>
        </w:tc>
        <w:tc>
          <w:tcPr>
            <w:tcW w:w="1620" w:type="dxa"/>
            <w:tcBorders>
              <w:right w:val="single" w:color="auto" w:sz="4" w:space="0"/>
            </w:tcBorders>
            <w:vAlign w:val="center"/>
          </w:tcPr>
          <w:p>
            <w:pPr>
              <w:jc w:val="center"/>
              <w:rPr>
                <w:rFonts w:ascii="仿宋" w:hAnsi="仿宋" w:eastAsia="仿宋"/>
                <w:b/>
                <w:color w:val="000000"/>
                <w:szCs w:val="21"/>
              </w:rPr>
            </w:pPr>
          </w:p>
        </w:tc>
        <w:tc>
          <w:tcPr>
            <w:tcW w:w="1770" w:type="dxa"/>
            <w:tcBorders>
              <w:right w:val="single" w:color="auto" w:sz="4" w:space="0"/>
            </w:tcBorders>
            <w:vAlign w:val="center"/>
          </w:tcPr>
          <w:p>
            <w:pPr>
              <w:jc w:val="center"/>
              <w:rPr>
                <w:rFonts w:ascii="仿宋" w:hAnsi="仿宋" w:eastAsia="仿宋"/>
                <w:b/>
                <w:color w:val="000000"/>
                <w:szCs w:val="21"/>
              </w:rPr>
            </w:pPr>
          </w:p>
        </w:tc>
        <w:tc>
          <w:tcPr>
            <w:tcW w:w="2610" w:type="dxa"/>
            <w:tcBorders>
              <w:left w:val="single" w:color="auto" w:sz="4" w:space="0"/>
              <w:right w:val="single" w:color="auto" w:sz="4" w:space="0"/>
            </w:tcBorders>
          </w:tcPr>
          <w:p>
            <w:pPr>
              <w:jc w:val="center"/>
              <w:rPr>
                <w:rFonts w:ascii="仿宋" w:hAnsi="仿宋" w:eastAsia="仿宋"/>
                <w:b/>
                <w:color w:val="000000"/>
                <w:szCs w:val="21"/>
              </w:rPr>
            </w:pPr>
          </w:p>
        </w:tc>
        <w:tc>
          <w:tcPr>
            <w:tcW w:w="2070" w:type="dxa"/>
            <w:tcBorders>
              <w:left w:val="single" w:color="auto" w:sz="4" w:space="0"/>
            </w:tcBorders>
            <w:vAlign w:val="center"/>
          </w:tcPr>
          <w:p>
            <w:pPr>
              <w:jc w:val="center"/>
              <w:rPr>
                <w:rFonts w:ascii="仿宋" w:hAnsi="仿宋" w:eastAsia="仿宋"/>
                <w:b/>
                <w:color w:val="000000"/>
                <w:szCs w:val="21"/>
              </w:rPr>
            </w:pPr>
          </w:p>
        </w:tc>
        <w:tc>
          <w:tcPr>
            <w:tcW w:w="705" w:type="dxa"/>
          </w:tcPr>
          <w:p>
            <w:pPr>
              <w:jc w:val="center"/>
              <w:rPr>
                <w:rFonts w:ascii="仿宋" w:hAnsi="仿宋" w:eastAsia="仿宋"/>
                <w:b/>
                <w:color w:val="000000"/>
                <w:szCs w:val="21"/>
              </w:rPr>
            </w:pPr>
          </w:p>
        </w:tc>
        <w:tc>
          <w:tcPr>
            <w:tcW w:w="660" w:type="dxa"/>
            <w:vAlign w:val="center"/>
          </w:tcPr>
          <w:p>
            <w:pPr>
              <w:jc w:val="center"/>
              <w:rPr>
                <w:rFonts w:ascii="仿宋" w:hAnsi="仿宋" w:eastAsia="仿宋"/>
                <w:b/>
                <w:color w:val="000000"/>
                <w:szCs w:val="21"/>
              </w:rPr>
            </w:pPr>
          </w:p>
        </w:tc>
        <w:tc>
          <w:tcPr>
            <w:tcW w:w="675" w:type="dxa"/>
            <w:vAlign w:val="center"/>
          </w:tcPr>
          <w:p>
            <w:pPr>
              <w:jc w:val="center"/>
              <w:rPr>
                <w:rFonts w:ascii="仿宋" w:hAnsi="仿宋" w:eastAsia="仿宋"/>
                <w:b/>
                <w:color w:val="000000"/>
                <w:szCs w:val="21"/>
              </w:rPr>
            </w:pPr>
          </w:p>
        </w:tc>
      </w:tr>
    </w:tbl>
    <w:p>
      <w:pPr>
        <w:pStyle w:val="2"/>
        <w:numPr>
          <w:ilvl w:val="-1"/>
          <w:numId w:val="0"/>
        </w:numPr>
        <w:ind w:firstLine="0" w:firstLineChars="0"/>
      </w:pPr>
    </w:p>
    <w:p>
      <w:pPr>
        <w:widowControl/>
        <w:snapToGrid w:val="0"/>
        <w:ind w:left="960" w:firstLine="0"/>
        <w:jc w:val="left"/>
        <w:rPr>
          <w:rFonts w:ascii="仿宋" w:hAnsi="仿宋" w:eastAsia="仿宋"/>
          <w:color w:val="000000"/>
          <w:sz w:val="24"/>
        </w:rPr>
      </w:pPr>
    </w:p>
    <w:p>
      <w:pPr>
        <w:widowControl/>
        <w:snapToGrid w:val="0"/>
        <w:ind w:left="480" w:firstLine="480"/>
        <w:jc w:val="left"/>
        <w:rPr>
          <w:rFonts w:ascii="仿宋" w:hAnsi="仿宋" w:eastAsia="仿宋"/>
          <w:b/>
          <w:bCs/>
          <w:color w:val="000000"/>
          <w:sz w:val="24"/>
        </w:rPr>
      </w:pPr>
      <w:r>
        <w:rPr>
          <w:rFonts w:hint="eastAsia" w:ascii="仿宋" w:hAnsi="仿宋" w:eastAsia="仿宋"/>
          <w:b/>
          <w:bCs/>
          <w:color w:val="000000"/>
          <w:sz w:val="24"/>
        </w:rPr>
        <w:t>2.高职阶段专业课程</w:t>
      </w:r>
    </w:p>
    <w:p>
      <w:pPr>
        <w:widowControl/>
        <w:snapToGrid w:val="0"/>
        <w:ind w:left="480" w:firstLine="480"/>
        <w:jc w:val="left"/>
        <w:rPr>
          <w:rFonts w:ascii="仿宋" w:hAnsi="仿宋" w:eastAsia="仿宋"/>
          <w:b/>
          <w:bCs/>
          <w:color w:val="000000"/>
          <w:sz w:val="24"/>
        </w:rPr>
      </w:pPr>
      <w:r>
        <w:rPr>
          <w:rFonts w:hint="eastAsia" w:ascii="仿宋" w:hAnsi="仿宋" w:eastAsia="仿宋"/>
          <w:b/>
          <w:bCs/>
          <w:color w:val="000000"/>
          <w:sz w:val="24"/>
        </w:rPr>
        <w:t>（1）专业基础课程</w:t>
      </w:r>
    </w:p>
    <w:tbl>
      <w:tblPr>
        <w:tblStyle w:val="9"/>
        <w:tblpPr w:leftFromText="180" w:rightFromText="180" w:vertAnchor="text" w:horzAnchor="page" w:tblpX="1290" w:tblpY="554"/>
        <w:tblOverlap w:val="never"/>
        <w:tblW w:w="1451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1"/>
        <w:gridCol w:w="1230"/>
        <w:gridCol w:w="2115"/>
        <w:gridCol w:w="1830"/>
        <w:gridCol w:w="1905"/>
        <w:gridCol w:w="2475"/>
        <w:gridCol w:w="2145"/>
        <w:gridCol w:w="780"/>
        <w:gridCol w:w="675"/>
        <w:gridCol w:w="64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9" w:hRule="atLeast"/>
          <w:tblHeader/>
        </w:trPr>
        <w:tc>
          <w:tcPr>
            <w:tcW w:w="711" w:type="dxa"/>
            <w:vAlign w:val="center"/>
          </w:tcPr>
          <w:p>
            <w:pPr>
              <w:adjustRightInd w:val="0"/>
              <w:snapToGrid w:val="0"/>
              <w:spacing w:before="120" w:beforeLines="50" w:after="120" w:afterLines="50"/>
              <w:jc w:val="center"/>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课</w:t>
            </w:r>
            <w:r>
              <w:rPr>
                <w:rFonts w:hint="eastAsia" w:asciiTheme="minorEastAsia" w:hAnsiTheme="minorEastAsia" w:eastAsiaTheme="minorEastAsia" w:cstheme="minorEastAsia"/>
                <w:b/>
                <w:color w:val="000000"/>
                <w:szCs w:val="21"/>
                <w:lang w:eastAsia="zh-CN"/>
              </w:rPr>
              <w:t>课</w:t>
            </w:r>
            <w:r>
              <w:rPr>
                <w:rFonts w:hint="eastAsia" w:asciiTheme="minorEastAsia" w:hAnsiTheme="minorEastAsia" w:eastAsiaTheme="minorEastAsia" w:cstheme="minorEastAsia"/>
                <w:b/>
                <w:color w:val="000000"/>
                <w:szCs w:val="21"/>
              </w:rPr>
              <w:t>程名称</w:t>
            </w:r>
          </w:p>
        </w:tc>
        <w:tc>
          <w:tcPr>
            <w:tcW w:w="1230" w:type="dxa"/>
            <w:vAlign w:val="center"/>
          </w:tcPr>
          <w:p>
            <w:pPr>
              <w:adjustRightInd w:val="0"/>
              <w:snapToGrid w:val="0"/>
              <w:spacing w:before="120" w:beforeLines="50" w:after="120" w:afterLines="50"/>
              <w:jc w:val="center"/>
              <w:rPr>
                <w:rFonts w:hint="eastAsia" w:asciiTheme="minorEastAsia" w:hAnsiTheme="minorEastAsia" w:eastAsiaTheme="minorEastAsia" w:cstheme="minorEastAsia"/>
                <w:b/>
                <w:bCs/>
                <w:color w:val="000000" w:themeColor="text1"/>
                <w:sz w:val="32"/>
                <w:szCs w:val="21"/>
              </w:rPr>
            </w:pPr>
            <w:r>
              <w:rPr>
                <w:rFonts w:hint="eastAsia" w:asciiTheme="minorEastAsia" w:hAnsiTheme="minorEastAsia" w:eastAsiaTheme="minorEastAsia" w:cstheme="minorEastAsia"/>
                <w:b/>
                <w:color w:val="000000" w:themeColor="text1"/>
                <w:kern w:val="0"/>
                <w:szCs w:val="21"/>
                <w:lang w:eastAsia="zh-CN"/>
              </w:rPr>
              <w:t>课课程目标</w:t>
            </w:r>
          </w:p>
        </w:tc>
        <w:tc>
          <w:tcPr>
            <w:tcW w:w="2115" w:type="dxa"/>
            <w:tcBorders>
              <w:right w:val="single" w:color="auto" w:sz="4" w:space="0"/>
            </w:tcBorders>
            <w:vAlign w:val="center"/>
          </w:tcPr>
          <w:p>
            <w:pPr>
              <w:adjustRightInd w:val="0"/>
              <w:snapToGrid w:val="0"/>
              <w:spacing w:before="120" w:beforeLines="50" w:after="120" w:afterLines="50"/>
              <w:jc w:val="center"/>
              <w:rPr>
                <w:rFonts w:hint="eastAsia" w:asciiTheme="minorEastAsia" w:hAnsiTheme="minorEastAsia" w:eastAsiaTheme="minorEastAsia" w:cstheme="minorEastAsia"/>
                <w:b/>
                <w:color w:val="000000" w:themeColor="text1"/>
                <w:kern w:val="0"/>
                <w:szCs w:val="21"/>
              </w:rPr>
            </w:pPr>
            <w:r>
              <w:rPr>
                <w:rFonts w:hint="eastAsia" w:asciiTheme="minorEastAsia" w:hAnsiTheme="minorEastAsia" w:eastAsiaTheme="minorEastAsia" w:cstheme="minorEastAsia"/>
                <w:b/>
                <w:color w:val="000000" w:themeColor="text1"/>
                <w:kern w:val="0"/>
                <w:szCs w:val="21"/>
              </w:rPr>
              <w:t>主</w:t>
            </w:r>
            <w:r>
              <w:rPr>
                <w:rFonts w:hint="eastAsia" w:asciiTheme="minorEastAsia" w:hAnsiTheme="minorEastAsia" w:eastAsiaTheme="minorEastAsia" w:cstheme="minorEastAsia"/>
                <w:b/>
                <w:color w:val="000000" w:themeColor="text1"/>
                <w:kern w:val="0"/>
                <w:szCs w:val="21"/>
                <w:lang w:eastAsia="zh-CN"/>
              </w:rPr>
              <w:t>主</w:t>
            </w:r>
            <w:r>
              <w:rPr>
                <w:rFonts w:hint="eastAsia" w:asciiTheme="minorEastAsia" w:hAnsiTheme="minorEastAsia" w:eastAsiaTheme="minorEastAsia" w:cstheme="minorEastAsia"/>
                <w:b/>
                <w:color w:val="000000" w:themeColor="text1"/>
                <w:kern w:val="0"/>
                <w:szCs w:val="21"/>
              </w:rPr>
              <w:t>要教学内容与要求</w:t>
            </w:r>
          </w:p>
        </w:tc>
        <w:tc>
          <w:tcPr>
            <w:tcW w:w="1830" w:type="dxa"/>
            <w:tcBorders>
              <w:right w:val="single" w:color="auto" w:sz="4" w:space="0"/>
            </w:tcBorders>
            <w:vAlign w:val="center"/>
          </w:tcPr>
          <w:p>
            <w:pPr>
              <w:adjustRightInd w:val="0"/>
              <w:snapToGrid w:val="0"/>
              <w:spacing w:before="120" w:beforeLines="50" w:after="120" w:afterLines="50"/>
              <w:jc w:val="center"/>
              <w:rPr>
                <w:rFonts w:hint="eastAsia" w:asciiTheme="minorEastAsia" w:hAnsiTheme="minorEastAsia" w:eastAsiaTheme="minorEastAsia" w:cstheme="minorEastAsia"/>
                <w:b/>
                <w:color w:val="000000" w:themeColor="text1"/>
                <w:kern w:val="0"/>
                <w:szCs w:val="21"/>
                <w:lang w:eastAsia="zh-CN"/>
              </w:rPr>
            </w:pPr>
            <w:r>
              <w:rPr>
                <w:rFonts w:hint="eastAsia" w:asciiTheme="minorEastAsia" w:hAnsiTheme="minorEastAsia" w:eastAsiaTheme="minorEastAsia" w:cstheme="minorEastAsia"/>
                <w:b/>
                <w:color w:val="000000" w:themeColor="text1"/>
                <w:kern w:val="0"/>
                <w:szCs w:val="21"/>
                <w:lang w:eastAsia="zh-CN"/>
              </w:rPr>
              <w:t>主主要教学方法</w:t>
            </w:r>
          </w:p>
        </w:tc>
        <w:tc>
          <w:tcPr>
            <w:tcW w:w="1905" w:type="dxa"/>
            <w:tcBorders>
              <w:right w:val="single" w:color="auto" w:sz="4" w:space="0"/>
            </w:tcBorders>
            <w:vAlign w:val="center"/>
          </w:tcPr>
          <w:p>
            <w:pPr>
              <w:adjustRightInd w:val="0"/>
              <w:snapToGrid w:val="0"/>
              <w:spacing w:before="120" w:beforeLines="50" w:after="120" w:afterLines="50"/>
              <w:jc w:val="center"/>
              <w:rPr>
                <w:rFonts w:hint="eastAsia" w:asciiTheme="minorEastAsia" w:hAnsiTheme="minorEastAsia" w:eastAsiaTheme="minorEastAsia" w:cstheme="minorEastAsia"/>
                <w:b/>
                <w:bCs/>
                <w:color w:val="000000" w:themeColor="text1"/>
                <w:sz w:val="32"/>
                <w:szCs w:val="21"/>
              </w:rPr>
            </w:pPr>
            <w:r>
              <w:rPr>
                <w:rFonts w:hint="eastAsia" w:asciiTheme="minorEastAsia" w:hAnsiTheme="minorEastAsia" w:eastAsiaTheme="minorEastAsia" w:cstheme="minorEastAsia"/>
                <w:b/>
                <w:color w:val="000000" w:themeColor="text1"/>
                <w:szCs w:val="21"/>
              </w:rPr>
              <w:t>主</w:t>
            </w:r>
            <w:r>
              <w:rPr>
                <w:rFonts w:hint="eastAsia" w:asciiTheme="minorEastAsia" w:hAnsiTheme="minorEastAsia" w:eastAsiaTheme="minorEastAsia" w:cstheme="minorEastAsia"/>
                <w:b/>
                <w:color w:val="000000" w:themeColor="text1"/>
                <w:szCs w:val="21"/>
                <w:lang w:eastAsia="zh-CN"/>
              </w:rPr>
              <w:t>主</w:t>
            </w:r>
            <w:r>
              <w:rPr>
                <w:rFonts w:hint="eastAsia" w:asciiTheme="minorEastAsia" w:hAnsiTheme="minorEastAsia" w:eastAsiaTheme="minorEastAsia" w:cstheme="minorEastAsia"/>
                <w:b/>
                <w:color w:val="000000" w:themeColor="text1"/>
                <w:szCs w:val="21"/>
              </w:rPr>
              <w:t>要技能与要求</w:t>
            </w:r>
          </w:p>
        </w:tc>
        <w:tc>
          <w:tcPr>
            <w:tcW w:w="2475" w:type="dxa"/>
            <w:tcBorders>
              <w:left w:val="single" w:color="auto" w:sz="4" w:space="0"/>
              <w:right w:val="single" w:color="auto" w:sz="4" w:space="0"/>
            </w:tcBorders>
          </w:tcPr>
          <w:p>
            <w:pPr>
              <w:adjustRightInd w:val="0"/>
              <w:snapToGrid w:val="0"/>
              <w:spacing w:before="120" w:beforeLines="50" w:after="120" w:afterLines="50"/>
              <w:jc w:val="center"/>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课</w:t>
            </w:r>
            <w:r>
              <w:rPr>
                <w:rFonts w:hint="eastAsia" w:asciiTheme="minorEastAsia" w:hAnsiTheme="minorEastAsia" w:eastAsiaTheme="minorEastAsia" w:cstheme="minorEastAsia"/>
                <w:b/>
                <w:color w:val="000000"/>
                <w:szCs w:val="21"/>
                <w:lang w:eastAsia="zh-CN"/>
              </w:rPr>
              <w:t>课</w:t>
            </w:r>
            <w:r>
              <w:rPr>
                <w:rFonts w:hint="eastAsia" w:asciiTheme="minorEastAsia" w:hAnsiTheme="minorEastAsia" w:eastAsiaTheme="minorEastAsia" w:cstheme="minorEastAsia"/>
                <w:b/>
                <w:color w:val="000000"/>
                <w:szCs w:val="21"/>
              </w:rPr>
              <w:t>程思政、励园文化融合点要求</w:t>
            </w:r>
          </w:p>
        </w:tc>
        <w:tc>
          <w:tcPr>
            <w:tcW w:w="2145" w:type="dxa"/>
            <w:tcBorders>
              <w:left w:val="single" w:color="auto" w:sz="4" w:space="0"/>
            </w:tcBorders>
            <w:vAlign w:val="center"/>
          </w:tcPr>
          <w:p>
            <w:pPr>
              <w:adjustRightInd w:val="0"/>
              <w:snapToGrid w:val="0"/>
              <w:spacing w:before="120" w:beforeLines="50" w:after="120" w:afterLines="50"/>
              <w:jc w:val="center"/>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创新创业创造融合点要求</w:t>
            </w:r>
          </w:p>
        </w:tc>
        <w:tc>
          <w:tcPr>
            <w:tcW w:w="780" w:type="dxa"/>
            <w:vAlign w:val="center"/>
          </w:tcPr>
          <w:p>
            <w:pPr>
              <w:adjustRightInd w:val="0"/>
              <w:snapToGrid w:val="0"/>
              <w:spacing w:before="120" w:beforeLines="50" w:after="120" w:afterLines="50"/>
              <w:jc w:val="center"/>
              <w:rPr>
                <w:rFonts w:hint="eastAsia" w:asciiTheme="minorEastAsia" w:hAnsiTheme="minorEastAsia" w:eastAsiaTheme="minorEastAsia" w:cstheme="minorEastAsia"/>
                <w:b/>
                <w:bCs/>
                <w:color w:val="000000"/>
                <w:sz w:val="32"/>
                <w:szCs w:val="21"/>
              </w:rPr>
            </w:pPr>
            <w:r>
              <w:rPr>
                <w:rFonts w:hint="eastAsia" w:asciiTheme="minorEastAsia" w:hAnsiTheme="minorEastAsia" w:eastAsiaTheme="minorEastAsia" w:cstheme="minorEastAsia"/>
                <w:b/>
                <w:color w:val="000000"/>
                <w:szCs w:val="21"/>
              </w:rPr>
              <w:t>考</w:t>
            </w:r>
            <w:r>
              <w:rPr>
                <w:rFonts w:hint="eastAsia" w:asciiTheme="minorEastAsia" w:hAnsiTheme="minorEastAsia" w:eastAsiaTheme="minorEastAsia" w:cstheme="minorEastAsia"/>
                <w:b/>
                <w:color w:val="000000"/>
                <w:szCs w:val="21"/>
                <w:lang w:eastAsia="zh-CN"/>
              </w:rPr>
              <w:t>考</w:t>
            </w:r>
            <w:r>
              <w:rPr>
                <w:rFonts w:hint="eastAsia" w:asciiTheme="minorEastAsia" w:hAnsiTheme="minorEastAsia" w:eastAsiaTheme="minorEastAsia" w:cstheme="minorEastAsia"/>
                <w:b/>
                <w:color w:val="000000"/>
                <w:szCs w:val="21"/>
              </w:rPr>
              <w:t>核</w:t>
            </w:r>
          </w:p>
        </w:tc>
        <w:tc>
          <w:tcPr>
            <w:tcW w:w="675" w:type="dxa"/>
            <w:vAlign w:val="center"/>
          </w:tcPr>
          <w:p>
            <w:pPr>
              <w:adjustRightInd w:val="0"/>
              <w:snapToGrid w:val="0"/>
              <w:spacing w:before="120" w:beforeLines="50" w:after="120" w:afterLines="50"/>
              <w:jc w:val="center"/>
              <w:rPr>
                <w:rFonts w:hint="eastAsia" w:asciiTheme="minorEastAsia" w:hAnsiTheme="minorEastAsia" w:eastAsiaTheme="minorEastAsia" w:cstheme="minorEastAsia"/>
                <w:b/>
                <w:bCs/>
                <w:color w:val="000000"/>
                <w:sz w:val="32"/>
                <w:szCs w:val="21"/>
              </w:rPr>
            </w:pPr>
            <w:r>
              <w:rPr>
                <w:rFonts w:hint="eastAsia" w:asciiTheme="minorEastAsia" w:hAnsiTheme="minorEastAsia" w:eastAsiaTheme="minorEastAsia" w:cstheme="minorEastAsia"/>
                <w:b/>
                <w:color w:val="000000"/>
                <w:szCs w:val="21"/>
              </w:rPr>
              <w:t>学</w:t>
            </w:r>
            <w:r>
              <w:rPr>
                <w:rFonts w:hint="eastAsia" w:asciiTheme="minorEastAsia" w:hAnsiTheme="minorEastAsia" w:eastAsiaTheme="minorEastAsia" w:cstheme="minorEastAsia"/>
                <w:b/>
                <w:color w:val="000000"/>
                <w:szCs w:val="21"/>
                <w:lang w:eastAsia="zh-CN"/>
              </w:rPr>
              <w:t>学</w:t>
            </w:r>
            <w:r>
              <w:rPr>
                <w:rFonts w:hint="eastAsia" w:asciiTheme="minorEastAsia" w:hAnsiTheme="minorEastAsia" w:eastAsiaTheme="minorEastAsia" w:cstheme="minorEastAsia"/>
                <w:b/>
                <w:color w:val="000000"/>
                <w:szCs w:val="21"/>
              </w:rPr>
              <w:t>期</w:t>
            </w:r>
          </w:p>
        </w:tc>
        <w:tc>
          <w:tcPr>
            <w:tcW w:w="645" w:type="dxa"/>
            <w:vAlign w:val="center"/>
          </w:tcPr>
          <w:p>
            <w:pPr>
              <w:adjustRightInd w:val="0"/>
              <w:snapToGrid w:val="0"/>
              <w:spacing w:before="120" w:beforeLines="50" w:after="120" w:afterLines="50"/>
              <w:jc w:val="center"/>
              <w:rPr>
                <w:rFonts w:hint="eastAsia" w:asciiTheme="minorEastAsia" w:hAnsiTheme="minorEastAsia" w:eastAsiaTheme="minorEastAsia" w:cstheme="minorEastAsia"/>
                <w:b/>
                <w:bCs/>
                <w:color w:val="000000"/>
                <w:sz w:val="32"/>
                <w:szCs w:val="21"/>
              </w:rPr>
            </w:pPr>
            <w:r>
              <w:rPr>
                <w:rFonts w:hint="eastAsia" w:asciiTheme="minorEastAsia" w:hAnsiTheme="minorEastAsia" w:eastAsiaTheme="minorEastAsia" w:cstheme="minorEastAsia"/>
                <w:b/>
                <w:color w:val="000000"/>
                <w:szCs w:val="21"/>
              </w:rPr>
              <w:t>学</w:t>
            </w:r>
            <w:r>
              <w:rPr>
                <w:rFonts w:hint="eastAsia" w:asciiTheme="minorEastAsia" w:hAnsiTheme="minorEastAsia" w:eastAsiaTheme="minorEastAsia" w:cstheme="minorEastAsia"/>
                <w:b/>
                <w:color w:val="000000"/>
                <w:szCs w:val="21"/>
                <w:lang w:eastAsia="zh-CN"/>
              </w:rPr>
              <w:t>学</w:t>
            </w:r>
            <w:r>
              <w:rPr>
                <w:rFonts w:hint="eastAsia" w:asciiTheme="minorEastAsia" w:hAnsiTheme="minorEastAsia" w:eastAsiaTheme="minorEastAsia" w:cstheme="minorEastAsia"/>
                <w:b/>
                <w:color w:val="000000"/>
                <w:szCs w:val="21"/>
              </w:rPr>
              <w:t>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trPr>
        <w:tc>
          <w:tcPr>
            <w:tcW w:w="711" w:type="dxa"/>
            <w:vAlign w:val="center"/>
          </w:tcPr>
          <w:p>
            <w:pPr>
              <w:jc w:val="center"/>
              <w:rPr>
                <w:rFonts w:ascii="仿宋" w:hAnsi="仿宋" w:eastAsia="仿宋"/>
                <w:b/>
                <w:color w:val="000000"/>
                <w:szCs w:val="21"/>
              </w:rPr>
            </w:pPr>
          </w:p>
        </w:tc>
        <w:tc>
          <w:tcPr>
            <w:tcW w:w="1230" w:type="dxa"/>
            <w:vAlign w:val="center"/>
          </w:tcPr>
          <w:p>
            <w:pPr>
              <w:jc w:val="center"/>
              <w:rPr>
                <w:rFonts w:ascii="仿宋" w:hAnsi="仿宋" w:eastAsia="仿宋"/>
                <w:b/>
                <w:color w:val="000000"/>
                <w:szCs w:val="21"/>
              </w:rPr>
            </w:pPr>
          </w:p>
        </w:tc>
        <w:tc>
          <w:tcPr>
            <w:tcW w:w="2115" w:type="dxa"/>
            <w:tcBorders>
              <w:right w:val="single" w:color="auto" w:sz="4" w:space="0"/>
            </w:tcBorders>
            <w:vAlign w:val="center"/>
          </w:tcPr>
          <w:p>
            <w:pPr>
              <w:jc w:val="center"/>
              <w:rPr>
                <w:rFonts w:ascii="仿宋" w:hAnsi="仿宋" w:eastAsia="仿宋"/>
                <w:b/>
                <w:color w:val="000000"/>
                <w:szCs w:val="21"/>
              </w:rPr>
            </w:pPr>
          </w:p>
        </w:tc>
        <w:tc>
          <w:tcPr>
            <w:tcW w:w="1830" w:type="dxa"/>
            <w:tcBorders>
              <w:right w:val="single" w:color="auto" w:sz="4" w:space="0"/>
            </w:tcBorders>
            <w:vAlign w:val="center"/>
          </w:tcPr>
          <w:p>
            <w:pPr>
              <w:jc w:val="center"/>
              <w:rPr>
                <w:rFonts w:ascii="仿宋" w:hAnsi="仿宋" w:eastAsia="仿宋"/>
                <w:b/>
                <w:color w:val="000000"/>
                <w:szCs w:val="21"/>
              </w:rPr>
            </w:pPr>
          </w:p>
        </w:tc>
        <w:tc>
          <w:tcPr>
            <w:tcW w:w="1905" w:type="dxa"/>
            <w:tcBorders>
              <w:right w:val="single" w:color="auto" w:sz="4" w:space="0"/>
            </w:tcBorders>
            <w:vAlign w:val="center"/>
          </w:tcPr>
          <w:p>
            <w:pPr>
              <w:jc w:val="center"/>
              <w:rPr>
                <w:rFonts w:ascii="仿宋" w:hAnsi="仿宋" w:eastAsia="仿宋"/>
                <w:b/>
                <w:color w:val="000000"/>
                <w:szCs w:val="21"/>
              </w:rPr>
            </w:pPr>
          </w:p>
        </w:tc>
        <w:tc>
          <w:tcPr>
            <w:tcW w:w="2475" w:type="dxa"/>
            <w:tcBorders>
              <w:left w:val="single" w:color="auto" w:sz="4" w:space="0"/>
              <w:right w:val="single" w:color="auto" w:sz="4" w:space="0"/>
            </w:tcBorders>
          </w:tcPr>
          <w:p>
            <w:pPr>
              <w:jc w:val="center"/>
              <w:rPr>
                <w:rFonts w:ascii="仿宋" w:hAnsi="仿宋" w:eastAsia="仿宋"/>
                <w:b/>
                <w:color w:val="000000"/>
                <w:szCs w:val="21"/>
              </w:rPr>
            </w:pPr>
          </w:p>
        </w:tc>
        <w:tc>
          <w:tcPr>
            <w:tcW w:w="2145" w:type="dxa"/>
            <w:tcBorders>
              <w:left w:val="single" w:color="auto" w:sz="4" w:space="0"/>
            </w:tcBorders>
            <w:vAlign w:val="center"/>
          </w:tcPr>
          <w:p>
            <w:pPr>
              <w:jc w:val="center"/>
              <w:rPr>
                <w:rFonts w:ascii="仿宋" w:hAnsi="仿宋" w:eastAsia="仿宋"/>
                <w:b/>
                <w:color w:val="000000"/>
                <w:szCs w:val="21"/>
              </w:rPr>
            </w:pPr>
          </w:p>
        </w:tc>
        <w:tc>
          <w:tcPr>
            <w:tcW w:w="780" w:type="dxa"/>
          </w:tcPr>
          <w:p>
            <w:pPr>
              <w:jc w:val="center"/>
              <w:rPr>
                <w:rFonts w:ascii="仿宋" w:hAnsi="仿宋" w:eastAsia="仿宋"/>
                <w:b/>
                <w:color w:val="000000"/>
                <w:szCs w:val="21"/>
              </w:rPr>
            </w:pPr>
          </w:p>
        </w:tc>
        <w:tc>
          <w:tcPr>
            <w:tcW w:w="675" w:type="dxa"/>
            <w:vAlign w:val="center"/>
          </w:tcPr>
          <w:p>
            <w:pPr>
              <w:jc w:val="center"/>
              <w:rPr>
                <w:rFonts w:ascii="仿宋" w:hAnsi="仿宋" w:eastAsia="仿宋"/>
                <w:b/>
                <w:color w:val="000000"/>
                <w:szCs w:val="21"/>
              </w:rPr>
            </w:pPr>
          </w:p>
        </w:tc>
        <w:tc>
          <w:tcPr>
            <w:tcW w:w="645" w:type="dxa"/>
            <w:vAlign w:val="center"/>
          </w:tcPr>
          <w:p>
            <w:pPr>
              <w:jc w:val="center"/>
              <w:rPr>
                <w:rFonts w:ascii="仿宋" w:hAnsi="仿宋" w:eastAsia="仿宋"/>
                <w:b/>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trPr>
        <w:tc>
          <w:tcPr>
            <w:tcW w:w="711" w:type="dxa"/>
            <w:vAlign w:val="center"/>
          </w:tcPr>
          <w:p>
            <w:pPr>
              <w:jc w:val="center"/>
              <w:rPr>
                <w:rFonts w:ascii="仿宋" w:hAnsi="仿宋" w:eastAsia="仿宋"/>
                <w:b/>
                <w:color w:val="000000"/>
                <w:szCs w:val="21"/>
              </w:rPr>
            </w:pPr>
          </w:p>
        </w:tc>
        <w:tc>
          <w:tcPr>
            <w:tcW w:w="1230" w:type="dxa"/>
            <w:vAlign w:val="center"/>
          </w:tcPr>
          <w:p>
            <w:pPr>
              <w:jc w:val="center"/>
              <w:rPr>
                <w:rFonts w:ascii="仿宋" w:hAnsi="仿宋" w:eastAsia="仿宋"/>
                <w:b/>
                <w:color w:val="000000"/>
                <w:szCs w:val="21"/>
              </w:rPr>
            </w:pPr>
          </w:p>
        </w:tc>
        <w:tc>
          <w:tcPr>
            <w:tcW w:w="2115" w:type="dxa"/>
            <w:tcBorders>
              <w:right w:val="single" w:color="auto" w:sz="4" w:space="0"/>
            </w:tcBorders>
            <w:vAlign w:val="center"/>
          </w:tcPr>
          <w:p>
            <w:pPr>
              <w:jc w:val="center"/>
              <w:rPr>
                <w:rFonts w:ascii="仿宋" w:hAnsi="仿宋" w:eastAsia="仿宋"/>
                <w:b/>
                <w:color w:val="000000"/>
                <w:szCs w:val="21"/>
              </w:rPr>
            </w:pPr>
          </w:p>
        </w:tc>
        <w:tc>
          <w:tcPr>
            <w:tcW w:w="1830" w:type="dxa"/>
            <w:tcBorders>
              <w:right w:val="single" w:color="auto" w:sz="4" w:space="0"/>
            </w:tcBorders>
            <w:vAlign w:val="center"/>
          </w:tcPr>
          <w:p>
            <w:pPr>
              <w:jc w:val="center"/>
              <w:rPr>
                <w:rFonts w:ascii="仿宋" w:hAnsi="仿宋" w:eastAsia="仿宋"/>
                <w:b/>
                <w:color w:val="000000"/>
                <w:szCs w:val="21"/>
              </w:rPr>
            </w:pPr>
          </w:p>
        </w:tc>
        <w:tc>
          <w:tcPr>
            <w:tcW w:w="1905" w:type="dxa"/>
            <w:tcBorders>
              <w:right w:val="single" w:color="auto" w:sz="4" w:space="0"/>
            </w:tcBorders>
            <w:vAlign w:val="center"/>
          </w:tcPr>
          <w:p>
            <w:pPr>
              <w:jc w:val="center"/>
              <w:rPr>
                <w:rFonts w:ascii="仿宋" w:hAnsi="仿宋" w:eastAsia="仿宋"/>
                <w:b/>
                <w:color w:val="000000"/>
                <w:szCs w:val="21"/>
              </w:rPr>
            </w:pPr>
          </w:p>
        </w:tc>
        <w:tc>
          <w:tcPr>
            <w:tcW w:w="2475" w:type="dxa"/>
            <w:tcBorders>
              <w:left w:val="single" w:color="auto" w:sz="4" w:space="0"/>
              <w:right w:val="single" w:color="auto" w:sz="4" w:space="0"/>
            </w:tcBorders>
          </w:tcPr>
          <w:p>
            <w:pPr>
              <w:jc w:val="center"/>
              <w:rPr>
                <w:rFonts w:ascii="仿宋" w:hAnsi="仿宋" w:eastAsia="仿宋"/>
                <w:b/>
                <w:color w:val="000000"/>
                <w:szCs w:val="21"/>
              </w:rPr>
            </w:pPr>
          </w:p>
        </w:tc>
        <w:tc>
          <w:tcPr>
            <w:tcW w:w="2145" w:type="dxa"/>
            <w:tcBorders>
              <w:left w:val="single" w:color="auto" w:sz="4" w:space="0"/>
            </w:tcBorders>
            <w:vAlign w:val="center"/>
          </w:tcPr>
          <w:p>
            <w:pPr>
              <w:jc w:val="center"/>
              <w:rPr>
                <w:rFonts w:ascii="仿宋" w:hAnsi="仿宋" w:eastAsia="仿宋"/>
                <w:b/>
                <w:color w:val="000000"/>
                <w:szCs w:val="21"/>
              </w:rPr>
            </w:pPr>
          </w:p>
        </w:tc>
        <w:tc>
          <w:tcPr>
            <w:tcW w:w="780" w:type="dxa"/>
          </w:tcPr>
          <w:p>
            <w:pPr>
              <w:jc w:val="center"/>
              <w:rPr>
                <w:rFonts w:ascii="仿宋" w:hAnsi="仿宋" w:eastAsia="仿宋"/>
                <w:b/>
                <w:color w:val="000000"/>
                <w:szCs w:val="21"/>
              </w:rPr>
            </w:pPr>
          </w:p>
        </w:tc>
        <w:tc>
          <w:tcPr>
            <w:tcW w:w="675" w:type="dxa"/>
            <w:vAlign w:val="center"/>
          </w:tcPr>
          <w:p>
            <w:pPr>
              <w:jc w:val="center"/>
              <w:rPr>
                <w:rFonts w:ascii="仿宋" w:hAnsi="仿宋" w:eastAsia="仿宋"/>
                <w:b/>
                <w:color w:val="000000"/>
                <w:szCs w:val="21"/>
              </w:rPr>
            </w:pPr>
          </w:p>
        </w:tc>
        <w:tc>
          <w:tcPr>
            <w:tcW w:w="645" w:type="dxa"/>
            <w:vAlign w:val="center"/>
          </w:tcPr>
          <w:p>
            <w:pPr>
              <w:jc w:val="center"/>
              <w:rPr>
                <w:rFonts w:ascii="仿宋" w:hAnsi="仿宋" w:eastAsia="仿宋"/>
                <w:b/>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trPr>
        <w:tc>
          <w:tcPr>
            <w:tcW w:w="711" w:type="dxa"/>
            <w:vAlign w:val="center"/>
          </w:tcPr>
          <w:p>
            <w:pPr>
              <w:jc w:val="center"/>
              <w:rPr>
                <w:rFonts w:ascii="仿宋" w:hAnsi="仿宋" w:eastAsia="仿宋"/>
                <w:b/>
                <w:color w:val="000000"/>
                <w:szCs w:val="21"/>
              </w:rPr>
            </w:pPr>
          </w:p>
        </w:tc>
        <w:tc>
          <w:tcPr>
            <w:tcW w:w="1230" w:type="dxa"/>
            <w:vAlign w:val="center"/>
          </w:tcPr>
          <w:p>
            <w:pPr>
              <w:jc w:val="center"/>
              <w:rPr>
                <w:rFonts w:ascii="仿宋" w:hAnsi="仿宋" w:eastAsia="仿宋"/>
                <w:b/>
                <w:color w:val="000000"/>
                <w:szCs w:val="21"/>
              </w:rPr>
            </w:pPr>
          </w:p>
        </w:tc>
        <w:tc>
          <w:tcPr>
            <w:tcW w:w="2115" w:type="dxa"/>
            <w:tcBorders>
              <w:right w:val="single" w:color="auto" w:sz="4" w:space="0"/>
            </w:tcBorders>
            <w:vAlign w:val="center"/>
          </w:tcPr>
          <w:p>
            <w:pPr>
              <w:jc w:val="center"/>
              <w:rPr>
                <w:rFonts w:ascii="仿宋" w:hAnsi="仿宋" w:eastAsia="仿宋"/>
                <w:b/>
                <w:color w:val="000000"/>
                <w:szCs w:val="21"/>
              </w:rPr>
            </w:pPr>
          </w:p>
        </w:tc>
        <w:tc>
          <w:tcPr>
            <w:tcW w:w="1830" w:type="dxa"/>
            <w:tcBorders>
              <w:right w:val="single" w:color="auto" w:sz="4" w:space="0"/>
            </w:tcBorders>
            <w:vAlign w:val="center"/>
          </w:tcPr>
          <w:p>
            <w:pPr>
              <w:jc w:val="center"/>
              <w:rPr>
                <w:rFonts w:ascii="仿宋" w:hAnsi="仿宋" w:eastAsia="仿宋"/>
                <w:b/>
                <w:color w:val="000000"/>
                <w:szCs w:val="21"/>
              </w:rPr>
            </w:pPr>
          </w:p>
        </w:tc>
        <w:tc>
          <w:tcPr>
            <w:tcW w:w="1905" w:type="dxa"/>
            <w:tcBorders>
              <w:right w:val="single" w:color="auto" w:sz="4" w:space="0"/>
            </w:tcBorders>
            <w:vAlign w:val="center"/>
          </w:tcPr>
          <w:p>
            <w:pPr>
              <w:jc w:val="center"/>
              <w:rPr>
                <w:rFonts w:ascii="仿宋" w:hAnsi="仿宋" w:eastAsia="仿宋"/>
                <w:b/>
                <w:color w:val="000000"/>
                <w:szCs w:val="21"/>
              </w:rPr>
            </w:pPr>
          </w:p>
        </w:tc>
        <w:tc>
          <w:tcPr>
            <w:tcW w:w="2475" w:type="dxa"/>
            <w:tcBorders>
              <w:left w:val="single" w:color="auto" w:sz="4" w:space="0"/>
              <w:right w:val="single" w:color="auto" w:sz="4" w:space="0"/>
            </w:tcBorders>
          </w:tcPr>
          <w:p>
            <w:pPr>
              <w:jc w:val="center"/>
              <w:rPr>
                <w:rFonts w:ascii="仿宋" w:hAnsi="仿宋" w:eastAsia="仿宋"/>
                <w:b/>
                <w:color w:val="000000"/>
                <w:szCs w:val="21"/>
              </w:rPr>
            </w:pPr>
          </w:p>
        </w:tc>
        <w:tc>
          <w:tcPr>
            <w:tcW w:w="2145" w:type="dxa"/>
            <w:tcBorders>
              <w:left w:val="single" w:color="auto" w:sz="4" w:space="0"/>
            </w:tcBorders>
            <w:vAlign w:val="center"/>
          </w:tcPr>
          <w:p>
            <w:pPr>
              <w:jc w:val="center"/>
              <w:rPr>
                <w:rFonts w:ascii="仿宋" w:hAnsi="仿宋" w:eastAsia="仿宋"/>
                <w:b/>
                <w:color w:val="000000"/>
                <w:szCs w:val="21"/>
              </w:rPr>
            </w:pPr>
          </w:p>
        </w:tc>
        <w:tc>
          <w:tcPr>
            <w:tcW w:w="780" w:type="dxa"/>
          </w:tcPr>
          <w:p>
            <w:pPr>
              <w:jc w:val="center"/>
              <w:rPr>
                <w:rFonts w:ascii="仿宋" w:hAnsi="仿宋" w:eastAsia="仿宋"/>
                <w:b/>
                <w:color w:val="000000"/>
                <w:szCs w:val="21"/>
              </w:rPr>
            </w:pPr>
          </w:p>
        </w:tc>
        <w:tc>
          <w:tcPr>
            <w:tcW w:w="675" w:type="dxa"/>
            <w:vAlign w:val="center"/>
          </w:tcPr>
          <w:p>
            <w:pPr>
              <w:jc w:val="center"/>
              <w:rPr>
                <w:rFonts w:ascii="仿宋" w:hAnsi="仿宋" w:eastAsia="仿宋"/>
                <w:b/>
                <w:color w:val="000000"/>
                <w:szCs w:val="21"/>
              </w:rPr>
            </w:pPr>
          </w:p>
        </w:tc>
        <w:tc>
          <w:tcPr>
            <w:tcW w:w="645" w:type="dxa"/>
            <w:vAlign w:val="center"/>
          </w:tcPr>
          <w:p>
            <w:pPr>
              <w:jc w:val="center"/>
              <w:rPr>
                <w:rFonts w:ascii="仿宋" w:hAnsi="仿宋" w:eastAsia="仿宋"/>
                <w:b/>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trPr>
        <w:tc>
          <w:tcPr>
            <w:tcW w:w="711" w:type="dxa"/>
            <w:vAlign w:val="center"/>
          </w:tcPr>
          <w:p>
            <w:pPr>
              <w:jc w:val="center"/>
              <w:rPr>
                <w:rFonts w:ascii="仿宋" w:hAnsi="仿宋" w:eastAsia="仿宋"/>
                <w:b/>
                <w:color w:val="000000"/>
                <w:szCs w:val="21"/>
              </w:rPr>
            </w:pPr>
          </w:p>
        </w:tc>
        <w:tc>
          <w:tcPr>
            <w:tcW w:w="1230" w:type="dxa"/>
            <w:vAlign w:val="center"/>
          </w:tcPr>
          <w:p>
            <w:pPr>
              <w:jc w:val="center"/>
              <w:rPr>
                <w:rFonts w:ascii="仿宋" w:hAnsi="仿宋" w:eastAsia="仿宋"/>
                <w:b/>
                <w:color w:val="000000"/>
                <w:szCs w:val="21"/>
              </w:rPr>
            </w:pPr>
          </w:p>
        </w:tc>
        <w:tc>
          <w:tcPr>
            <w:tcW w:w="2115" w:type="dxa"/>
            <w:tcBorders>
              <w:right w:val="single" w:color="auto" w:sz="4" w:space="0"/>
            </w:tcBorders>
            <w:vAlign w:val="center"/>
          </w:tcPr>
          <w:p>
            <w:pPr>
              <w:jc w:val="center"/>
              <w:rPr>
                <w:rFonts w:ascii="仿宋" w:hAnsi="仿宋" w:eastAsia="仿宋"/>
                <w:b/>
                <w:color w:val="000000"/>
                <w:szCs w:val="21"/>
              </w:rPr>
            </w:pPr>
          </w:p>
        </w:tc>
        <w:tc>
          <w:tcPr>
            <w:tcW w:w="1830" w:type="dxa"/>
            <w:tcBorders>
              <w:right w:val="single" w:color="auto" w:sz="4" w:space="0"/>
            </w:tcBorders>
            <w:vAlign w:val="center"/>
          </w:tcPr>
          <w:p>
            <w:pPr>
              <w:jc w:val="center"/>
              <w:rPr>
                <w:rFonts w:ascii="仿宋" w:hAnsi="仿宋" w:eastAsia="仿宋"/>
                <w:b/>
                <w:color w:val="000000"/>
                <w:szCs w:val="21"/>
              </w:rPr>
            </w:pPr>
          </w:p>
        </w:tc>
        <w:tc>
          <w:tcPr>
            <w:tcW w:w="1905" w:type="dxa"/>
            <w:tcBorders>
              <w:right w:val="single" w:color="auto" w:sz="4" w:space="0"/>
            </w:tcBorders>
            <w:vAlign w:val="center"/>
          </w:tcPr>
          <w:p>
            <w:pPr>
              <w:jc w:val="center"/>
              <w:rPr>
                <w:rFonts w:ascii="仿宋" w:hAnsi="仿宋" w:eastAsia="仿宋"/>
                <w:b/>
                <w:color w:val="000000"/>
                <w:szCs w:val="21"/>
              </w:rPr>
            </w:pPr>
          </w:p>
        </w:tc>
        <w:tc>
          <w:tcPr>
            <w:tcW w:w="2475" w:type="dxa"/>
            <w:tcBorders>
              <w:left w:val="single" w:color="auto" w:sz="4" w:space="0"/>
              <w:right w:val="single" w:color="auto" w:sz="4" w:space="0"/>
            </w:tcBorders>
          </w:tcPr>
          <w:p>
            <w:pPr>
              <w:jc w:val="center"/>
              <w:rPr>
                <w:rFonts w:ascii="仿宋" w:hAnsi="仿宋" w:eastAsia="仿宋"/>
                <w:b/>
                <w:color w:val="000000"/>
                <w:szCs w:val="21"/>
              </w:rPr>
            </w:pPr>
          </w:p>
        </w:tc>
        <w:tc>
          <w:tcPr>
            <w:tcW w:w="2145" w:type="dxa"/>
            <w:tcBorders>
              <w:left w:val="single" w:color="auto" w:sz="4" w:space="0"/>
            </w:tcBorders>
            <w:vAlign w:val="center"/>
          </w:tcPr>
          <w:p>
            <w:pPr>
              <w:jc w:val="center"/>
              <w:rPr>
                <w:rFonts w:ascii="仿宋" w:hAnsi="仿宋" w:eastAsia="仿宋"/>
                <w:b/>
                <w:color w:val="000000"/>
                <w:szCs w:val="21"/>
              </w:rPr>
            </w:pPr>
          </w:p>
        </w:tc>
        <w:tc>
          <w:tcPr>
            <w:tcW w:w="780" w:type="dxa"/>
          </w:tcPr>
          <w:p>
            <w:pPr>
              <w:jc w:val="center"/>
              <w:rPr>
                <w:rFonts w:ascii="仿宋" w:hAnsi="仿宋" w:eastAsia="仿宋"/>
                <w:b/>
                <w:color w:val="000000"/>
                <w:szCs w:val="21"/>
              </w:rPr>
            </w:pPr>
          </w:p>
        </w:tc>
        <w:tc>
          <w:tcPr>
            <w:tcW w:w="675" w:type="dxa"/>
            <w:vAlign w:val="center"/>
          </w:tcPr>
          <w:p>
            <w:pPr>
              <w:jc w:val="center"/>
              <w:rPr>
                <w:rFonts w:ascii="仿宋" w:hAnsi="仿宋" w:eastAsia="仿宋"/>
                <w:b/>
                <w:color w:val="000000"/>
                <w:szCs w:val="21"/>
              </w:rPr>
            </w:pPr>
          </w:p>
        </w:tc>
        <w:tc>
          <w:tcPr>
            <w:tcW w:w="645" w:type="dxa"/>
            <w:vAlign w:val="center"/>
          </w:tcPr>
          <w:p>
            <w:pPr>
              <w:jc w:val="center"/>
              <w:rPr>
                <w:rFonts w:ascii="仿宋" w:hAnsi="仿宋" w:eastAsia="仿宋"/>
                <w:b/>
                <w:color w:val="000000"/>
                <w:szCs w:val="21"/>
              </w:rPr>
            </w:pPr>
          </w:p>
        </w:tc>
      </w:tr>
    </w:tbl>
    <w:p>
      <w:pPr>
        <w:widowControl/>
        <w:snapToGrid w:val="0"/>
        <w:ind w:left="480" w:firstLine="480"/>
        <w:jc w:val="left"/>
        <w:rPr>
          <w:rFonts w:ascii="仿宋" w:hAnsi="仿宋" w:eastAsia="仿宋"/>
          <w:color w:val="000000"/>
          <w:sz w:val="24"/>
        </w:rPr>
      </w:pPr>
    </w:p>
    <w:p>
      <w:pPr>
        <w:widowControl/>
        <w:snapToGrid w:val="0"/>
        <w:ind w:left="480" w:firstLine="480"/>
        <w:jc w:val="left"/>
        <w:rPr>
          <w:rFonts w:ascii="仿宋" w:hAnsi="仿宋" w:eastAsia="仿宋"/>
          <w:b/>
          <w:bCs/>
          <w:color w:val="000000"/>
          <w:sz w:val="24"/>
          <w:u w:val="single"/>
        </w:rPr>
      </w:pPr>
      <w:r>
        <w:rPr>
          <w:rFonts w:hint="eastAsia" w:ascii="仿宋" w:hAnsi="仿宋" w:eastAsia="仿宋"/>
          <w:b/>
          <w:bCs/>
          <w:color w:val="000000"/>
          <w:sz w:val="24"/>
        </w:rPr>
        <w:t>（</w:t>
      </w:r>
      <w:r>
        <w:rPr>
          <w:rFonts w:ascii="仿宋" w:hAnsi="仿宋" w:eastAsia="仿宋"/>
          <w:b/>
          <w:bCs/>
          <w:color w:val="000000"/>
          <w:sz w:val="24"/>
        </w:rPr>
        <w:t>2</w:t>
      </w:r>
      <w:r>
        <w:rPr>
          <w:rFonts w:hint="eastAsia" w:ascii="仿宋" w:hAnsi="仿宋" w:eastAsia="仿宋"/>
          <w:b/>
          <w:bCs/>
          <w:color w:val="000000"/>
          <w:sz w:val="24"/>
        </w:rPr>
        <w:t>）专业核心课程</w:t>
      </w:r>
    </w:p>
    <w:tbl>
      <w:tblPr>
        <w:tblStyle w:val="9"/>
        <w:tblpPr w:leftFromText="180" w:rightFromText="180" w:vertAnchor="text" w:horzAnchor="page" w:tblpX="1290" w:tblpY="554"/>
        <w:tblOverlap w:val="never"/>
        <w:tblW w:w="1451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1"/>
        <w:gridCol w:w="1095"/>
        <w:gridCol w:w="2370"/>
        <w:gridCol w:w="1755"/>
        <w:gridCol w:w="1800"/>
        <w:gridCol w:w="2580"/>
        <w:gridCol w:w="2130"/>
        <w:gridCol w:w="765"/>
        <w:gridCol w:w="645"/>
        <w:gridCol w:w="6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9" w:hRule="atLeast"/>
          <w:tblHeader/>
        </w:trPr>
        <w:tc>
          <w:tcPr>
            <w:tcW w:w="711" w:type="dxa"/>
            <w:vAlign w:val="center"/>
          </w:tcPr>
          <w:p>
            <w:pPr>
              <w:adjustRightInd w:val="0"/>
              <w:snapToGrid w:val="0"/>
              <w:spacing w:before="120" w:beforeLines="50" w:after="120" w:afterLines="50"/>
              <w:jc w:val="center"/>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课</w:t>
            </w:r>
            <w:r>
              <w:rPr>
                <w:rFonts w:hint="eastAsia" w:asciiTheme="minorEastAsia" w:hAnsiTheme="minorEastAsia" w:eastAsiaTheme="minorEastAsia" w:cstheme="minorEastAsia"/>
                <w:b/>
                <w:color w:val="000000"/>
                <w:szCs w:val="21"/>
                <w:lang w:eastAsia="zh-CN"/>
              </w:rPr>
              <w:t>课</w:t>
            </w:r>
            <w:r>
              <w:rPr>
                <w:rFonts w:hint="eastAsia" w:asciiTheme="minorEastAsia" w:hAnsiTheme="minorEastAsia" w:eastAsiaTheme="minorEastAsia" w:cstheme="minorEastAsia"/>
                <w:b/>
                <w:color w:val="000000"/>
                <w:szCs w:val="21"/>
              </w:rPr>
              <w:t>程名称</w:t>
            </w:r>
          </w:p>
        </w:tc>
        <w:tc>
          <w:tcPr>
            <w:tcW w:w="1095" w:type="dxa"/>
            <w:vAlign w:val="center"/>
          </w:tcPr>
          <w:p>
            <w:pPr>
              <w:adjustRightInd w:val="0"/>
              <w:snapToGrid w:val="0"/>
              <w:spacing w:before="120" w:beforeLines="50" w:after="120" w:afterLines="50"/>
              <w:jc w:val="center"/>
              <w:rPr>
                <w:rFonts w:hint="eastAsia" w:asciiTheme="minorEastAsia" w:hAnsiTheme="minorEastAsia" w:eastAsiaTheme="minorEastAsia" w:cstheme="minorEastAsia"/>
                <w:b/>
                <w:bCs/>
                <w:color w:val="000000" w:themeColor="text1"/>
                <w:sz w:val="32"/>
                <w:szCs w:val="21"/>
              </w:rPr>
            </w:pPr>
            <w:r>
              <w:rPr>
                <w:rFonts w:hint="eastAsia" w:asciiTheme="minorEastAsia" w:hAnsiTheme="minorEastAsia" w:eastAsiaTheme="minorEastAsia" w:cstheme="minorEastAsia"/>
                <w:b/>
                <w:color w:val="000000" w:themeColor="text1"/>
                <w:kern w:val="0"/>
                <w:szCs w:val="21"/>
                <w:lang w:eastAsia="zh-CN"/>
              </w:rPr>
              <w:t>课课程目标</w:t>
            </w:r>
          </w:p>
        </w:tc>
        <w:tc>
          <w:tcPr>
            <w:tcW w:w="2370" w:type="dxa"/>
            <w:tcBorders>
              <w:right w:val="single" w:color="auto" w:sz="4" w:space="0"/>
            </w:tcBorders>
            <w:vAlign w:val="center"/>
          </w:tcPr>
          <w:p>
            <w:pPr>
              <w:adjustRightInd w:val="0"/>
              <w:snapToGrid w:val="0"/>
              <w:spacing w:before="120" w:beforeLines="50" w:after="120" w:afterLines="50"/>
              <w:jc w:val="center"/>
              <w:rPr>
                <w:rFonts w:hint="eastAsia" w:asciiTheme="minorEastAsia" w:hAnsiTheme="minorEastAsia" w:eastAsiaTheme="minorEastAsia" w:cstheme="minorEastAsia"/>
                <w:b/>
                <w:color w:val="000000" w:themeColor="text1"/>
                <w:kern w:val="0"/>
                <w:szCs w:val="21"/>
              </w:rPr>
            </w:pPr>
            <w:r>
              <w:rPr>
                <w:rFonts w:hint="eastAsia" w:asciiTheme="minorEastAsia" w:hAnsiTheme="minorEastAsia" w:eastAsiaTheme="minorEastAsia" w:cstheme="minorEastAsia"/>
                <w:b/>
                <w:color w:val="000000" w:themeColor="text1"/>
                <w:kern w:val="0"/>
                <w:szCs w:val="21"/>
              </w:rPr>
              <w:t>主</w:t>
            </w:r>
            <w:r>
              <w:rPr>
                <w:rFonts w:hint="eastAsia" w:asciiTheme="minorEastAsia" w:hAnsiTheme="minorEastAsia" w:eastAsiaTheme="minorEastAsia" w:cstheme="minorEastAsia"/>
                <w:b/>
                <w:color w:val="000000" w:themeColor="text1"/>
                <w:kern w:val="0"/>
                <w:szCs w:val="21"/>
                <w:lang w:eastAsia="zh-CN"/>
              </w:rPr>
              <w:t>主</w:t>
            </w:r>
            <w:r>
              <w:rPr>
                <w:rFonts w:hint="eastAsia" w:asciiTheme="minorEastAsia" w:hAnsiTheme="minorEastAsia" w:eastAsiaTheme="minorEastAsia" w:cstheme="minorEastAsia"/>
                <w:b/>
                <w:color w:val="000000" w:themeColor="text1"/>
                <w:kern w:val="0"/>
                <w:szCs w:val="21"/>
              </w:rPr>
              <w:t>要教学内容与要求</w:t>
            </w:r>
          </w:p>
        </w:tc>
        <w:tc>
          <w:tcPr>
            <w:tcW w:w="1755" w:type="dxa"/>
            <w:tcBorders>
              <w:right w:val="single" w:color="auto" w:sz="4" w:space="0"/>
            </w:tcBorders>
            <w:vAlign w:val="center"/>
          </w:tcPr>
          <w:p>
            <w:pPr>
              <w:adjustRightInd w:val="0"/>
              <w:snapToGrid w:val="0"/>
              <w:spacing w:before="120" w:beforeLines="50" w:after="120" w:afterLines="50"/>
              <w:jc w:val="center"/>
              <w:rPr>
                <w:rFonts w:hint="eastAsia" w:asciiTheme="minorEastAsia" w:hAnsiTheme="minorEastAsia" w:eastAsiaTheme="minorEastAsia" w:cstheme="minorEastAsia"/>
                <w:b/>
                <w:color w:val="000000" w:themeColor="text1"/>
                <w:kern w:val="0"/>
                <w:szCs w:val="21"/>
                <w:lang w:eastAsia="zh-CN"/>
              </w:rPr>
            </w:pPr>
            <w:r>
              <w:rPr>
                <w:rFonts w:hint="eastAsia" w:asciiTheme="minorEastAsia" w:hAnsiTheme="minorEastAsia" w:eastAsiaTheme="minorEastAsia" w:cstheme="minorEastAsia"/>
                <w:b/>
                <w:color w:val="000000" w:themeColor="text1"/>
                <w:kern w:val="0"/>
                <w:szCs w:val="21"/>
                <w:lang w:eastAsia="zh-CN"/>
              </w:rPr>
              <w:t>主主要教学方法</w:t>
            </w:r>
          </w:p>
        </w:tc>
        <w:tc>
          <w:tcPr>
            <w:tcW w:w="1800" w:type="dxa"/>
            <w:tcBorders>
              <w:right w:val="single" w:color="auto" w:sz="4" w:space="0"/>
            </w:tcBorders>
            <w:vAlign w:val="center"/>
          </w:tcPr>
          <w:p>
            <w:pPr>
              <w:adjustRightInd w:val="0"/>
              <w:snapToGrid w:val="0"/>
              <w:spacing w:before="120" w:beforeLines="50" w:after="120" w:afterLines="50"/>
              <w:jc w:val="center"/>
              <w:rPr>
                <w:rFonts w:hint="eastAsia" w:asciiTheme="minorEastAsia" w:hAnsiTheme="minorEastAsia" w:eastAsiaTheme="minorEastAsia" w:cstheme="minorEastAsia"/>
                <w:b/>
                <w:bCs/>
                <w:color w:val="000000" w:themeColor="text1"/>
                <w:sz w:val="32"/>
                <w:szCs w:val="21"/>
              </w:rPr>
            </w:pPr>
            <w:r>
              <w:rPr>
                <w:rFonts w:hint="eastAsia" w:asciiTheme="minorEastAsia" w:hAnsiTheme="minorEastAsia" w:eastAsiaTheme="minorEastAsia" w:cstheme="minorEastAsia"/>
                <w:b/>
                <w:color w:val="000000" w:themeColor="text1"/>
                <w:szCs w:val="21"/>
              </w:rPr>
              <w:t>主</w:t>
            </w:r>
            <w:r>
              <w:rPr>
                <w:rFonts w:hint="eastAsia" w:asciiTheme="minorEastAsia" w:hAnsiTheme="minorEastAsia" w:eastAsiaTheme="minorEastAsia" w:cstheme="minorEastAsia"/>
                <w:b/>
                <w:color w:val="000000" w:themeColor="text1"/>
                <w:szCs w:val="21"/>
                <w:lang w:eastAsia="zh-CN"/>
              </w:rPr>
              <w:t>主</w:t>
            </w:r>
            <w:r>
              <w:rPr>
                <w:rFonts w:hint="eastAsia" w:asciiTheme="minorEastAsia" w:hAnsiTheme="minorEastAsia" w:eastAsiaTheme="minorEastAsia" w:cstheme="minorEastAsia"/>
                <w:b/>
                <w:color w:val="000000" w:themeColor="text1"/>
                <w:szCs w:val="21"/>
              </w:rPr>
              <w:t>要技能与要求</w:t>
            </w:r>
          </w:p>
        </w:tc>
        <w:tc>
          <w:tcPr>
            <w:tcW w:w="2580" w:type="dxa"/>
            <w:tcBorders>
              <w:left w:val="single" w:color="auto" w:sz="4" w:space="0"/>
              <w:right w:val="single" w:color="auto" w:sz="4" w:space="0"/>
            </w:tcBorders>
          </w:tcPr>
          <w:p>
            <w:pPr>
              <w:adjustRightInd w:val="0"/>
              <w:snapToGrid w:val="0"/>
              <w:spacing w:before="120" w:beforeLines="50" w:after="120" w:afterLines="50"/>
              <w:jc w:val="center"/>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课</w:t>
            </w:r>
            <w:r>
              <w:rPr>
                <w:rFonts w:hint="eastAsia" w:asciiTheme="minorEastAsia" w:hAnsiTheme="minorEastAsia" w:eastAsiaTheme="minorEastAsia" w:cstheme="minorEastAsia"/>
                <w:b/>
                <w:color w:val="000000"/>
                <w:szCs w:val="21"/>
                <w:lang w:eastAsia="zh-CN"/>
              </w:rPr>
              <w:t>课</w:t>
            </w:r>
            <w:r>
              <w:rPr>
                <w:rFonts w:hint="eastAsia" w:asciiTheme="minorEastAsia" w:hAnsiTheme="minorEastAsia" w:eastAsiaTheme="minorEastAsia" w:cstheme="minorEastAsia"/>
                <w:b/>
                <w:color w:val="000000"/>
                <w:szCs w:val="21"/>
              </w:rPr>
              <w:t>程思政、励园文化融合点要求</w:t>
            </w:r>
          </w:p>
        </w:tc>
        <w:tc>
          <w:tcPr>
            <w:tcW w:w="2130" w:type="dxa"/>
            <w:tcBorders>
              <w:left w:val="single" w:color="auto" w:sz="4" w:space="0"/>
            </w:tcBorders>
            <w:vAlign w:val="center"/>
          </w:tcPr>
          <w:p>
            <w:pPr>
              <w:adjustRightInd w:val="0"/>
              <w:snapToGrid w:val="0"/>
              <w:spacing w:before="120" w:beforeLines="50" w:after="120" w:afterLines="50"/>
              <w:jc w:val="center"/>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创新创业创造融合点要求</w:t>
            </w:r>
          </w:p>
        </w:tc>
        <w:tc>
          <w:tcPr>
            <w:tcW w:w="765" w:type="dxa"/>
            <w:vAlign w:val="center"/>
          </w:tcPr>
          <w:p>
            <w:pPr>
              <w:adjustRightInd w:val="0"/>
              <w:snapToGrid w:val="0"/>
              <w:spacing w:before="120" w:beforeLines="50" w:after="120" w:afterLines="50"/>
              <w:jc w:val="center"/>
              <w:rPr>
                <w:rFonts w:hint="eastAsia" w:asciiTheme="minorEastAsia" w:hAnsiTheme="minorEastAsia" w:eastAsiaTheme="minorEastAsia" w:cstheme="minorEastAsia"/>
                <w:b/>
                <w:bCs/>
                <w:color w:val="000000"/>
                <w:sz w:val="32"/>
                <w:szCs w:val="21"/>
              </w:rPr>
            </w:pPr>
            <w:r>
              <w:rPr>
                <w:rFonts w:hint="eastAsia" w:asciiTheme="minorEastAsia" w:hAnsiTheme="minorEastAsia" w:eastAsiaTheme="minorEastAsia" w:cstheme="minorEastAsia"/>
                <w:b/>
                <w:color w:val="000000"/>
                <w:szCs w:val="21"/>
              </w:rPr>
              <w:t>考</w:t>
            </w:r>
            <w:r>
              <w:rPr>
                <w:rFonts w:hint="eastAsia" w:asciiTheme="minorEastAsia" w:hAnsiTheme="minorEastAsia" w:eastAsiaTheme="minorEastAsia" w:cstheme="minorEastAsia"/>
                <w:b/>
                <w:color w:val="000000"/>
                <w:szCs w:val="21"/>
                <w:lang w:eastAsia="zh-CN"/>
              </w:rPr>
              <w:t>考</w:t>
            </w:r>
            <w:r>
              <w:rPr>
                <w:rFonts w:hint="eastAsia" w:asciiTheme="minorEastAsia" w:hAnsiTheme="minorEastAsia" w:eastAsiaTheme="minorEastAsia" w:cstheme="minorEastAsia"/>
                <w:b/>
                <w:color w:val="000000"/>
                <w:szCs w:val="21"/>
              </w:rPr>
              <w:t>核</w:t>
            </w:r>
          </w:p>
        </w:tc>
        <w:tc>
          <w:tcPr>
            <w:tcW w:w="645" w:type="dxa"/>
            <w:vAlign w:val="center"/>
          </w:tcPr>
          <w:p>
            <w:pPr>
              <w:adjustRightInd w:val="0"/>
              <w:snapToGrid w:val="0"/>
              <w:spacing w:before="120" w:beforeLines="50" w:after="120" w:afterLines="50"/>
              <w:jc w:val="center"/>
              <w:rPr>
                <w:rFonts w:hint="eastAsia" w:asciiTheme="minorEastAsia" w:hAnsiTheme="minorEastAsia" w:eastAsiaTheme="minorEastAsia" w:cstheme="minorEastAsia"/>
                <w:b/>
                <w:bCs/>
                <w:color w:val="000000"/>
                <w:sz w:val="32"/>
                <w:szCs w:val="21"/>
              </w:rPr>
            </w:pPr>
            <w:r>
              <w:rPr>
                <w:rFonts w:hint="eastAsia" w:asciiTheme="minorEastAsia" w:hAnsiTheme="minorEastAsia" w:eastAsiaTheme="minorEastAsia" w:cstheme="minorEastAsia"/>
                <w:b/>
                <w:color w:val="000000"/>
                <w:szCs w:val="21"/>
              </w:rPr>
              <w:t>学</w:t>
            </w:r>
            <w:r>
              <w:rPr>
                <w:rFonts w:hint="eastAsia" w:asciiTheme="minorEastAsia" w:hAnsiTheme="minorEastAsia" w:eastAsiaTheme="minorEastAsia" w:cstheme="minorEastAsia"/>
                <w:b/>
                <w:color w:val="000000"/>
                <w:szCs w:val="21"/>
                <w:lang w:eastAsia="zh-CN"/>
              </w:rPr>
              <w:t>学</w:t>
            </w:r>
            <w:r>
              <w:rPr>
                <w:rFonts w:hint="eastAsia" w:asciiTheme="minorEastAsia" w:hAnsiTheme="minorEastAsia" w:eastAsiaTheme="minorEastAsia" w:cstheme="minorEastAsia"/>
                <w:b/>
                <w:color w:val="000000"/>
                <w:szCs w:val="21"/>
              </w:rPr>
              <w:t>期</w:t>
            </w:r>
          </w:p>
        </w:tc>
        <w:tc>
          <w:tcPr>
            <w:tcW w:w="660" w:type="dxa"/>
            <w:vAlign w:val="center"/>
          </w:tcPr>
          <w:p>
            <w:pPr>
              <w:adjustRightInd w:val="0"/>
              <w:snapToGrid w:val="0"/>
              <w:spacing w:before="120" w:beforeLines="50" w:after="120" w:afterLines="50"/>
              <w:jc w:val="center"/>
              <w:rPr>
                <w:rFonts w:hint="eastAsia" w:asciiTheme="minorEastAsia" w:hAnsiTheme="minorEastAsia" w:eastAsiaTheme="minorEastAsia" w:cstheme="minorEastAsia"/>
                <w:b/>
                <w:bCs/>
                <w:color w:val="000000"/>
                <w:sz w:val="32"/>
                <w:szCs w:val="21"/>
              </w:rPr>
            </w:pPr>
            <w:r>
              <w:rPr>
                <w:rFonts w:hint="eastAsia" w:asciiTheme="minorEastAsia" w:hAnsiTheme="minorEastAsia" w:eastAsiaTheme="minorEastAsia" w:cstheme="minorEastAsia"/>
                <w:b/>
                <w:color w:val="000000"/>
                <w:szCs w:val="21"/>
              </w:rPr>
              <w:t>学</w:t>
            </w:r>
            <w:r>
              <w:rPr>
                <w:rFonts w:hint="eastAsia" w:asciiTheme="minorEastAsia" w:hAnsiTheme="minorEastAsia" w:eastAsiaTheme="minorEastAsia" w:cstheme="minorEastAsia"/>
                <w:b/>
                <w:color w:val="000000"/>
                <w:szCs w:val="21"/>
                <w:lang w:eastAsia="zh-CN"/>
              </w:rPr>
              <w:t>学</w:t>
            </w:r>
            <w:r>
              <w:rPr>
                <w:rFonts w:hint="eastAsia" w:asciiTheme="minorEastAsia" w:hAnsiTheme="minorEastAsia" w:eastAsiaTheme="minorEastAsia" w:cstheme="minorEastAsia"/>
                <w:b/>
                <w:color w:val="000000"/>
                <w:szCs w:val="21"/>
              </w:rPr>
              <w:t>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trPr>
        <w:tc>
          <w:tcPr>
            <w:tcW w:w="711" w:type="dxa"/>
            <w:vAlign w:val="center"/>
          </w:tcPr>
          <w:p>
            <w:pPr>
              <w:jc w:val="center"/>
              <w:rPr>
                <w:rFonts w:ascii="仿宋" w:hAnsi="仿宋" w:eastAsia="仿宋"/>
                <w:b/>
                <w:color w:val="000000"/>
                <w:szCs w:val="21"/>
              </w:rPr>
            </w:pPr>
          </w:p>
        </w:tc>
        <w:tc>
          <w:tcPr>
            <w:tcW w:w="1095" w:type="dxa"/>
            <w:vAlign w:val="center"/>
          </w:tcPr>
          <w:p>
            <w:pPr>
              <w:jc w:val="center"/>
              <w:rPr>
                <w:rFonts w:ascii="仿宋" w:hAnsi="仿宋" w:eastAsia="仿宋"/>
                <w:b/>
                <w:color w:val="000000"/>
                <w:szCs w:val="21"/>
              </w:rPr>
            </w:pPr>
          </w:p>
        </w:tc>
        <w:tc>
          <w:tcPr>
            <w:tcW w:w="2370" w:type="dxa"/>
            <w:tcBorders>
              <w:right w:val="single" w:color="auto" w:sz="4" w:space="0"/>
            </w:tcBorders>
            <w:vAlign w:val="center"/>
          </w:tcPr>
          <w:p>
            <w:pPr>
              <w:jc w:val="center"/>
              <w:rPr>
                <w:rFonts w:ascii="仿宋" w:hAnsi="仿宋" w:eastAsia="仿宋"/>
                <w:b/>
                <w:color w:val="000000"/>
                <w:szCs w:val="21"/>
              </w:rPr>
            </w:pPr>
          </w:p>
        </w:tc>
        <w:tc>
          <w:tcPr>
            <w:tcW w:w="1755" w:type="dxa"/>
            <w:tcBorders>
              <w:right w:val="single" w:color="auto" w:sz="4" w:space="0"/>
            </w:tcBorders>
            <w:vAlign w:val="center"/>
          </w:tcPr>
          <w:p>
            <w:pPr>
              <w:jc w:val="center"/>
              <w:rPr>
                <w:rFonts w:ascii="仿宋" w:hAnsi="仿宋" w:eastAsia="仿宋"/>
                <w:b/>
                <w:color w:val="000000"/>
                <w:szCs w:val="21"/>
              </w:rPr>
            </w:pPr>
          </w:p>
        </w:tc>
        <w:tc>
          <w:tcPr>
            <w:tcW w:w="1800" w:type="dxa"/>
            <w:tcBorders>
              <w:right w:val="single" w:color="auto" w:sz="4" w:space="0"/>
            </w:tcBorders>
            <w:vAlign w:val="center"/>
          </w:tcPr>
          <w:p>
            <w:pPr>
              <w:jc w:val="center"/>
              <w:rPr>
                <w:rFonts w:ascii="仿宋" w:hAnsi="仿宋" w:eastAsia="仿宋"/>
                <w:b/>
                <w:color w:val="000000"/>
                <w:szCs w:val="21"/>
              </w:rPr>
            </w:pPr>
          </w:p>
        </w:tc>
        <w:tc>
          <w:tcPr>
            <w:tcW w:w="2580" w:type="dxa"/>
            <w:tcBorders>
              <w:left w:val="single" w:color="auto" w:sz="4" w:space="0"/>
              <w:right w:val="single" w:color="auto" w:sz="4" w:space="0"/>
            </w:tcBorders>
          </w:tcPr>
          <w:p>
            <w:pPr>
              <w:jc w:val="center"/>
              <w:rPr>
                <w:rFonts w:ascii="仿宋" w:hAnsi="仿宋" w:eastAsia="仿宋"/>
                <w:b/>
                <w:color w:val="000000"/>
                <w:szCs w:val="21"/>
              </w:rPr>
            </w:pPr>
          </w:p>
        </w:tc>
        <w:tc>
          <w:tcPr>
            <w:tcW w:w="2130" w:type="dxa"/>
            <w:tcBorders>
              <w:left w:val="single" w:color="auto" w:sz="4" w:space="0"/>
            </w:tcBorders>
            <w:vAlign w:val="center"/>
          </w:tcPr>
          <w:p>
            <w:pPr>
              <w:jc w:val="center"/>
              <w:rPr>
                <w:rFonts w:ascii="仿宋" w:hAnsi="仿宋" w:eastAsia="仿宋"/>
                <w:b/>
                <w:color w:val="000000"/>
                <w:szCs w:val="21"/>
              </w:rPr>
            </w:pPr>
          </w:p>
        </w:tc>
        <w:tc>
          <w:tcPr>
            <w:tcW w:w="765" w:type="dxa"/>
          </w:tcPr>
          <w:p>
            <w:pPr>
              <w:jc w:val="center"/>
              <w:rPr>
                <w:rFonts w:ascii="仿宋" w:hAnsi="仿宋" w:eastAsia="仿宋"/>
                <w:b/>
                <w:color w:val="000000"/>
                <w:szCs w:val="21"/>
              </w:rPr>
            </w:pPr>
          </w:p>
        </w:tc>
        <w:tc>
          <w:tcPr>
            <w:tcW w:w="645" w:type="dxa"/>
            <w:vAlign w:val="center"/>
          </w:tcPr>
          <w:p>
            <w:pPr>
              <w:jc w:val="center"/>
              <w:rPr>
                <w:rFonts w:ascii="仿宋" w:hAnsi="仿宋" w:eastAsia="仿宋"/>
                <w:b/>
                <w:color w:val="000000"/>
                <w:szCs w:val="21"/>
              </w:rPr>
            </w:pPr>
          </w:p>
        </w:tc>
        <w:tc>
          <w:tcPr>
            <w:tcW w:w="660" w:type="dxa"/>
            <w:vAlign w:val="center"/>
          </w:tcPr>
          <w:p>
            <w:pPr>
              <w:jc w:val="center"/>
              <w:rPr>
                <w:rFonts w:ascii="仿宋" w:hAnsi="仿宋" w:eastAsia="仿宋"/>
                <w:b/>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trPr>
        <w:tc>
          <w:tcPr>
            <w:tcW w:w="711" w:type="dxa"/>
            <w:vAlign w:val="center"/>
          </w:tcPr>
          <w:p>
            <w:pPr>
              <w:jc w:val="center"/>
              <w:rPr>
                <w:rFonts w:ascii="仿宋" w:hAnsi="仿宋" w:eastAsia="仿宋"/>
                <w:b/>
                <w:color w:val="000000"/>
                <w:szCs w:val="21"/>
              </w:rPr>
            </w:pPr>
          </w:p>
        </w:tc>
        <w:tc>
          <w:tcPr>
            <w:tcW w:w="1095" w:type="dxa"/>
            <w:vAlign w:val="center"/>
          </w:tcPr>
          <w:p>
            <w:pPr>
              <w:jc w:val="center"/>
              <w:rPr>
                <w:rFonts w:ascii="仿宋" w:hAnsi="仿宋" w:eastAsia="仿宋"/>
                <w:b/>
                <w:color w:val="000000"/>
                <w:szCs w:val="21"/>
              </w:rPr>
            </w:pPr>
          </w:p>
        </w:tc>
        <w:tc>
          <w:tcPr>
            <w:tcW w:w="2370" w:type="dxa"/>
            <w:tcBorders>
              <w:right w:val="single" w:color="auto" w:sz="4" w:space="0"/>
            </w:tcBorders>
            <w:vAlign w:val="center"/>
          </w:tcPr>
          <w:p>
            <w:pPr>
              <w:jc w:val="center"/>
              <w:rPr>
                <w:rFonts w:ascii="仿宋" w:hAnsi="仿宋" w:eastAsia="仿宋"/>
                <w:b/>
                <w:color w:val="000000"/>
                <w:szCs w:val="21"/>
              </w:rPr>
            </w:pPr>
          </w:p>
        </w:tc>
        <w:tc>
          <w:tcPr>
            <w:tcW w:w="1755" w:type="dxa"/>
            <w:tcBorders>
              <w:right w:val="single" w:color="auto" w:sz="4" w:space="0"/>
            </w:tcBorders>
            <w:vAlign w:val="center"/>
          </w:tcPr>
          <w:p>
            <w:pPr>
              <w:jc w:val="center"/>
              <w:rPr>
                <w:rFonts w:ascii="仿宋" w:hAnsi="仿宋" w:eastAsia="仿宋"/>
                <w:b/>
                <w:color w:val="000000"/>
                <w:szCs w:val="21"/>
              </w:rPr>
            </w:pPr>
          </w:p>
        </w:tc>
        <w:tc>
          <w:tcPr>
            <w:tcW w:w="1800" w:type="dxa"/>
            <w:tcBorders>
              <w:right w:val="single" w:color="auto" w:sz="4" w:space="0"/>
            </w:tcBorders>
            <w:vAlign w:val="center"/>
          </w:tcPr>
          <w:p>
            <w:pPr>
              <w:jc w:val="center"/>
              <w:rPr>
                <w:rFonts w:ascii="仿宋" w:hAnsi="仿宋" w:eastAsia="仿宋"/>
                <w:b/>
                <w:color w:val="000000"/>
                <w:szCs w:val="21"/>
              </w:rPr>
            </w:pPr>
          </w:p>
        </w:tc>
        <w:tc>
          <w:tcPr>
            <w:tcW w:w="2580" w:type="dxa"/>
            <w:tcBorders>
              <w:left w:val="single" w:color="auto" w:sz="4" w:space="0"/>
              <w:right w:val="single" w:color="auto" w:sz="4" w:space="0"/>
            </w:tcBorders>
          </w:tcPr>
          <w:p>
            <w:pPr>
              <w:jc w:val="center"/>
              <w:rPr>
                <w:rFonts w:ascii="仿宋" w:hAnsi="仿宋" w:eastAsia="仿宋"/>
                <w:b/>
                <w:color w:val="000000"/>
                <w:szCs w:val="21"/>
              </w:rPr>
            </w:pPr>
          </w:p>
        </w:tc>
        <w:tc>
          <w:tcPr>
            <w:tcW w:w="2130" w:type="dxa"/>
            <w:tcBorders>
              <w:left w:val="single" w:color="auto" w:sz="4" w:space="0"/>
            </w:tcBorders>
            <w:vAlign w:val="center"/>
          </w:tcPr>
          <w:p>
            <w:pPr>
              <w:jc w:val="center"/>
              <w:rPr>
                <w:rFonts w:ascii="仿宋" w:hAnsi="仿宋" w:eastAsia="仿宋"/>
                <w:b/>
                <w:color w:val="000000"/>
                <w:szCs w:val="21"/>
              </w:rPr>
            </w:pPr>
          </w:p>
        </w:tc>
        <w:tc>
          <w:tcPr>
            <w:tcW w:w="765" w:type="dxa"/>
          </w:tcPr>
          <w:p>
            <w:pPr>
              <w:jc w:val="center"/>
              <w:rPr>
                <w:rFonts w:ascii="仿宋" w:hAnsi="仿宋" w:eastAsia="仿宋"/>
                <w:b/>
                <w:color w:val="000000"/>
                <w:szCs w:val="21"/>
              </w:rPr>
            </w:pPr>
          </w:p>
        </w:tc>
        <w:tc>
          <w:tcPr>
            <w:tcW w:w="645" w:type="dxa"/>
            <w:vAlign w:val="center"/>
          </w:tcPr>
          <w:p>
            <w:pPr>
              <w:jc w:val="center"/>
              <w:rPr>
                <w:rFonts w:ascii="仿宋" w:hAnsi="仿宋" w:eastAsia="仿宋"/>
                <w:b/>
                <w:color w:val="000000"/>
                <w:szCs w:val="21"/>
              </w:rPr>
            </w:pPr>
          </w:p>
        </w:tc>
        <w:tc>
          <w:tcPr>
            <w:tcW w:w="660" w:type="dxa"/>
            <w:vAlign w:val="center"/>
          </w:tcPr>
          <w:p>
            <w:pPr>
              <w:jc w:val="center"/>
              <w:rPr>
                <w:rFonts w:ascii="仿宋" w:hAnsi="仿宋" w:eastAsia="仿宋"/>
                <w:b/>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trPr>
        <w:tc>
          <w:tcPr>
            <w:tcW w:w="711" w:type="dxa"/>
            <w:vAlign w:val="center"/>
          </w:tcPr>
          <w:p>
            <w:pPr>
              <w:jc w:val="center"/>
              <w:rPr>
                <w:rFonts w:ascii="仿宋" w:hAnsi="仿宋" w:eastAsia="仿宋"/>
                <w:b/>
                <w:color w:val="000000"/>
                <w:szCs w:val="21"/>
              </w:rPr>
            </w:pPr>
          </w:p>
        </w:tc>
        <w:tc>
          <w:tcPr>
            <w:tcW w:w="1095" w:type="dxa"/>
            <w:vAlign w:val="center"/>
          </w:tcPr>
          <w:p>
            <w:pPr>
              <w:jc w:val="center"/>
              <w:rPr>
                <w:rFonts w:ascii="仿宋" w:hAnsi="仿宋" w:eastAsia="仿宋"/>
                <w:b/>
                <w:color w:val="000000"/>
                <w:szCs w:val="21"/>
              </w:rPr>
            </w:pPr>
          </w:p>
        </w:tc>
        <w:tc>
          <w:tcPr>
            <w:tcW w:w="2370" w:type="dxa"/>
            <w:tcBorders>
              <w:right w:val="single" w:color="auto" w:sz="4" w:space="0"/>
            </w:tcBorders>
            <w:vAlign w:val="center"/>
          </w:tcPr>
          <w:p>
            <w:pPr>
              <w:jc w:val="center"/>
              <w:rPr>
                <w:rFonts w:ascii="仿宋" w:hAnsi="仿宋" w:eastAsia="仿宋"/>
                <w:b/>
                <w:color w:val="000000"/>
                <w:szCs w:val="21"/>
              </w:rPr>
            </w:pPr>
          </w:p>
        </w:tc>
        <w:tc>
          <w:tcPr>
            <w:tcW w:w="1755" w:type="dxa"/>
            <w:tcBorders>
              <w:right w:val="single" w:color="auto" w:sz="4" w:space="0"/>
            </w:tcBorders>
            <w:vAlign w:val="center"/>
          </w:tcPr>
          <w:p>
            <w:pPr>
              <w:jc w:val="center"/>
              <w:rPr>
                <w:rFonts w:ascii="仿宋" w:hAnsi="仿宋" w:eastAsia="仿宋"/>
                <w:b/>
                <w:color w:val="000000"/>
                <w:szCs w:val="21"/>
              </w:rPr>
            </w:pPr>
          </w:p>
        </w:tc>
        <w:tc>
          <w:tcPr>
            <w:tcW w:w="1800" w:type="dxa"/>
            <w:tcBorders>
              <w:right w:val="single" w:color="auto" w:sz="4" w:space="0"/>
            </w:tcBorders>
            <w:vAlign w:val="center"/>
          </w:tcPr>
          <w:p>
            <w:pPr>
              <w:jc w:val="center"/>
              <w:rPr>
                <w:rFonts w:ascii="仿宋" w:hAnsi="仿宋" w:eastAsia="仿宋"/>
                <w:b/>
                <w:color w:val="000000"/>
                <w:szCs w:val="21"/>
              </w:rPr>
            </w:pPr>
          </w:p>
        </w:tc>
        <w:tc>
          <w:tcPr>
            <w:tcW w:w="2580" w:type="dxa"/>
            <w:tcBorders>
              <w:left w:val="single" w:color="auto" w:sz="4" w:space="0"/>
              <w:right w:val="single" w:color="auto" w:sz="4" w:space="0"/>
            </w:tcBorders>
          </w:tcPr>
          <w:p>
            <w:pPr>
              <w:jc w:val="center"/>
              <w:rPr>
                <w:rFonts w:ascii="仿宋" w:hAnsi="仿宋" w:eastAsia="仿宋"/>
                <w:b/>
                <w:color w:val="000000"/>
                <w:szCs w:val="21"/>
              </w:rPr>
            </w:pPr>
          </w:p>
        </w:tc>
        <w:tc>
          <w:tcPr>
            <w:tcW w:w="2130" w:type="dxa"/>
            <w:tcBorders>
              <w:left w:val="single" w:color="auto" w:sz="4" w:space="0"/>
            </w:tcBorders>
            <w:vAlign w:val="center"/>
          </w:tcPr>
          <w:p>
            <w:pPr>
              <w:jc w:val="center"/>
              <w:rPr>
                <w:rFonts w:ascii="仿宋" w:hAnsi="仿宋" w:eastAsia="仿宋"/>
                <w:b/>
                <w:color w:val="000000"/>
                <w:szCs w:val="21"/>
              </w:rPr>
            </w:pPr>
          </w:p>
        </w:tc>
        <w:tc>
          <w:tcPr>
            <w:tcW w:w="765" w:type="dxa"/>
          </w:tcPr>
          <w:p>
            <w:pPr>
              <w:jc w:val="center"/>
              <w:rPr>
                <w:rFonts w:ascii="仿宋" w:hAnsi="仿宋" w:eastAsia="仿宋"/>
                <w:b/>
                <w:color w:val="000000"/>
                <w:szCs w:val="21"/>
              </w:rPr>
            </w:pPr>
          </w:p>
        </w:tc>
        <w:tc>
          <w:tcPr>
            <w:tcW w:w="645" w:type="dxa"/>
            <w:vAlign w:val="center"/>
          </w:tcPr>
          <w:p>
            <w:pPr>
              <w:jc w:val="center"/>
              <w:rPr>
                <w:rFonts w:ascii="仿宋" w:hAnsi="仿宋" w:eastAsia="仿宋"/>
                <w:b/>
                <w:color w:val="000000"/>
                <w:szCs w:val="21"/>
              </w:rPr>
            </w:pPr>
          </w:p>
        </w:tc>
        <w:tc>
          <w:tcPr>
            <w:tcW w:w="660" w:type="dxa"/>
            <w:vAlign w:val="center"/>
          </w:tcPr>
          <w:p>
            <w:pPr>
              <w:jc w:val="center"/>
              <w:rPr>
                <w:rFonts w:ascii="仿宋" w:hAnsi="仿宋" w:eastAsia="仿宋"/>
                <w:b/>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 w:hRule="atLeast"/>
        </w:trPr>
        <w:tc>
          <w:tcPr>
            <w:tcW w:w="711" w:type="dxa"/>
            <w:vAlign w:val="center"/>
          </w:tcPr>
          <w:p>
            <w:pPr>
              <w:jc w:val="center"/>
              <w:rPr>
                <w:rFonts w:ascii="仿宋" w:hAnsi="仿宋" w:eastAsia="仿宋"/>
                <w:b/>
                <w:color w:val="000000"/>
                <w:szCs w:val="21"/>
              </w:rPr>
            </w:pPr>
          </w:p>
        </w:tc>
        <w:tc>
          <w:tcPr>
            <w:tcW w:w="1095" w:type="dxa"/>
            <w:vAlign w:val="center"/>
          </w:tcPr>
          <w:p>
            <w:pPr>
              <w:jc w:val="center"/>
              <w:rPr>
                <w:rFonts w:ascii="仿宋" w:hAnsi="仿宋" w:eastAsia="仿宋"/>
                <w:b/>
                <w:color w:val="000000"/>
                <w:szCs w:val="21"/>
              </w:rPr>
            </w:pPr>
          </w:p>
        </w:tc>
        <w:tc>
          <w:tcPr>
            <w:tcW w:w="2370" w:type="dxa"/>
            <w:tcBorders>
              <w:right w:val="single" w:color="auto" w:sz="4" w:space="0"/>
            </w:tcBorders>
            <w:vAlign w:val="center"/>
          </w:tcPr>
          <w:p>
            <w:pPr>
              <w:jc w:val="center"/>
              <w:rPr>
                <w:rFonts w:ascii="仿宋" w:hAnsi="仿宋" w:eastAsia="仿宋"/>
                <w:b/>
                <w:color w:val="000000"/>
                <w:szCs w:val="21"/>
              </w:rPr>
            </w:pPr>
          </w:p>
        </w:tc>
        <w:tc>
          <w:tcPr>
            <w:tcW w:w="1755" w:type="dxa"/>
            <w:tcBorders>
              <w:right w:val="single" w:color="auto" w:sz="4" w:space="0"/>
            </w:tcBorders>
            <w:vAlign w:val="center"/>
          </w:tcPr>
          <w:p>
            <w:pPr>
              <w:jc w:val="center"/>
              <w:rPr>
                <w:rFonts w:ascii="仿宋" w:hAnsi="仿宋" w:eastAsia="仿宋"/>
                <w:b/>
                <w:color w:val="000000"/>
                <w:szCs w:val="21"/>
              </w:rPr>
            </w:pPr>
          </w:p>
        </w:tc>
        <w:tc>
          <w:tcPr>
            <w:tcW w:w="1800" w:type="dxa"/>
            <w:tcBorders>
              <w:right w:val="single" w:color="auto" w:sz="4" w:space="0"/>
            </w:tcBorders>
            <w:vAlign w:val="center"/>
          </w:tcPr>
          <w:p>
            <w:pPr>
              <w:jc w:val="center"/>
              <w:rPr>
                <w:rFonts w:ascii="仿宋" w:hAnsi="仿宋" w:eastAsia="仿宋"/>
                <w:b/>
                <w:color w:val="000000"/>
                <w:szCs w:val="21"/>
              </w:rPr>
            </w:pPr>
          </w:p>
        </w:tc>
        <w:tc>
          <w:tcPr>
            <w:tcW w:w="2580" w:type="dxa"/>
            <w:tcBorders>
              <w:left w:val="single" w:color="auto" w:sz="4" w:space="0"/>
              <w:right w:val="single" w:color="auto" w:sz="4" w:space="0"/>
            </w:tcBorders>
          </w:tcPr>
          <w:p>
            <w:pPr>
              <w:jc w:val="center"/>
              <w:rPr>
                <w:rFonts w:ascii="仿宋" w:hAnsi="仿宋" w:eastAsia="仿宋"/>
                <w:b/>
                <w:color w:val="000000"/>
                <w:szCs w:val="21"/>
              </w:rPr>
            </w:pPr>
          </w:p>
        </w:tc>
        <w:tc>
          <w:tcPr>
            <w:tcW w:w="2130" w:type="dxa"/>
            <w:tcBorders>
              <w:left w:val="single" w:color="auto" w:sz="4" w:space="0"/>
            </w:tcBorders>
            <w:vAlign w:val="center"/>
          </w:tcPr>
          <w:p>
            <w:pPr>
              <w:jc w:val="center"/>
              <w:rPr>
                <w:rFonts w:ascii="仿宋" w:hAnsi="仿宋" w:eastAsia="仿宋"/>
                <w:b/>
                <w:color w:val="000000"/>
                <w:szCs w:val="21"/>
              </w:rPr>
            </w:pPr>
          </w:p>
        </w:tc>
        <w:tc>
          <w:tcPr>
            <w:tcW w:w="765" w:type="dxa"/>
          </w:tcPr>
          <w:p>
            <w:pPr>
              <w:jc w:val="center"/>
              <w:rPr>
                <w:rFonts w:ascii="仿宋" w:hAnsi="仿宋" w:eastAsia="仿宋"/>
                <w:b/>
                <w:color w:val="000000"/>
                <w:szCs w:val="21"/>
              </w:rPr>
            </w:pPr>
          </w:p>
        </w:tc>
        <w:tc>
          <w:tcPr>
            <w:tcW w:w="645" w:type="dxa"/>
            <w:vAlign w:val="center"/>
          </w:tcPr>
          <w:p>
            <w:pPr>
              <w:jc w:val="center"/>
              <w:rPr>
                <w:rFonts w:ascii="仿宋" w:hAnsi="仿宋" w:eastAsia="仿宋"/>
                <w:b/>
                <w:color w:val="000000"/>
                <w:szCs w:val="21"/>
              </w:rPr>
            </w:pPr>
          </w:p>
        </w:tc>
        <w:tc>
          <w:tcPr>
            <w:tcW w:w="660" w:type="dxa"/>
            <w:vAlign w:val="center"/>
          </w:tcPr>
          <w:p>
            <w:pPr>
              <w:jc w:val="center"/>
              <w:rPr>
                <w:rFonts w:ascii="仿宋" w:hAnsi="仿宋" w:eastAsia="仿宋"/>
                <w:b/>
                <w:color w:val="000000"/>
                <w:szCs w:val="21"/>
              </w:rPr>
            </w:pPr>
          </w:p>
        </w:tc>
      </w:tr>
    </w:tbl>
    <w:p>
      <w:pPr>
        <w:widowControl/>
        <w:snapToGrid w:val="0"/>
        <w:ind w:left="480" w:firstLine="480"/>
        <w:jc w:val="left"/>
        <w:rPr>
          <w:rFonts w:ascii="仿宋" w:hAnsi="仿宋" w:eastAsia="仿宋"/>
          <w:color w:val="000000"/>
          <w:sz w:val="24"/>
          <w:u w:val="single"/>
        </w:rPr>
      </w:pPr>
    </w:p>
    <w:p>
      <w:pPr>
        <w:widowControl/>
        <w:snapToGrid w:val="0"/>
        <w:ind w:firstLine="482" w:firstLineChars="200"/>
        <w:jc w:val="left"/>
        <w:rPr>
          <w:rFonts w:ascii="仿宋" w:hAnsi="仿宋" w:eastAsia="仿宋"/>
          <w:color w:val="000000"/>
          <w:sz w:val="24"/>
        </w:rPr>
      </w:pPr>
      <w:r>
        <w:rPr>
          <w:rFonts w:hint="eastAsia" w:ascii="仿宋" w:hAnsi="仿宋" w:eastAsia="仿宋"/>
          <w:b/>
          <w:color w:val="000000"/>
          <w:sz w:val="24"/>
        </w:rPr>
        <w:t>“课程思政、励园文化融合点要求”</w:t>
      </w:r>
      <w:r>
        <w:rPr>
          <w:rFonts w:hint="eastAsia" w:ascii="仿宋" w:hAnsi="仿宋" w:eastAsia="仿宋"/>
          <w:color w:val="000000"/>
          <w:sz w:val="24"/>
        </w:rPr>
        <w:t>主要描述该课程在教学中应重点突出思想政治教育元素、励园文化元素，列出社会主义核心价值观的主要具体培养和塑造点，以及“励园文化”品牌“励志成才·匠心筑梦·爱心奉献”三大内涵主要对应点。具体参照《福州职业技术学院开展“课程思政”改革试点项目申报工作的通知》。</w:t>
      </w:r>
    </w:p>
    <w:p>
      <w:pPr>
        <w:widowControl/>
        <w:snapToGrid w:val="0"/>
        <w:ind w:firstLine="0"/>
        <w:jc w:val="left"/>
        <w:rPr>
          <w:rFonts w:ascii="仿宋" w:hAnsi="仿宋" w:eastAsia="仿宋"/>
          <w:color w:val="000000"/>
          <w:sz w:val="24"/>
        </w:rPr>
      </w:pPr>
      <w:r>
        <w:rPr>
          <w:rFonts w:hint="eastAsia" w:ascii="仿宋" w:hAnsi="仿宋" w:eastAsia="仿宋"/>
          <w:color w:val="000000"/>
          <w:sz w:val="24"/>
        </w:rPr>
        <w:t>“</w:t>
      </w:r>
      <w:r>
        <w:rPr>
          <w:rFonts w:hint="eastAsia" w:ascii="仿宋" w:hAnsi="仿宋" w:eastAsia="仿宋"/>
          <w:b/>
          <w:color w:val="000000"/>
          <w:sz w:val="24"/>
        </w:rPr>
        <w:t>创新创业创造融合点要求</w:t>
      </w:r>
      <w:r>
        <w:rPr>
          <w:rFonts w:hint="eastAsia" w:ascii="仿宋" w:hAnsi="仿宋" w:eastAsia="仿宋"/>
          <w:color w:val="000000"/>
          <w:sz w:val="24"/>
        </w:rPr>
        <w:t>”主要描述该课程在教学中应在教学内容、教学方式方法等方面体现的创新创业创造要素（双创之一即可）。具体参照《福州职业技术学院关于创新创业课程指导性意见》</w:t>
      </w:r>
    </w:p>
    <w:p>
      <w:pPr>
        <w:widowControl/>
        <w:snapToGrid w:val="0"/>
        <w:ind w:left="480" w:firstLine="480"/>
        <w:jc w:val="left"/>
        <w:rPr>
          <w:rFonts w:ascii="仿宋" w:hAnsi="仿宋" w:eastAsia="仿宋"/>
          <w:color w:val="000000"/>
          <w:sz w:val="24"/>
        </w:rPr>
      </w:pPr>
    </w:p>
    <w:p>
      <w:pPr>
        <w:widowControl/>
        <w:snapToGrid w:val="0"/>
        <w:ind w:left="420" w:firstLine="0"/>
        <w:jc w:val="left"/>
        <w:rPr>
          <w:rFonts w:ascii="仿宋" w:hAnsi="仿宋" w:eastAsia="仿宋"/>
          <w:color w:val="000000"/>
          <w:sz w:val="24"/>
        </w:rPr>
      </w:pPr>
      <w:r>
        <w:rPr>
          <w:rFonts w:hint="eastAsia" w:ascii="仿宋" w:hAnsi="仿宋" w:eastAsia="仿宋"/>
          <w:color w:val="000000"/>
          <w:sz w:val="24"/>
        </w:rPr>
        <w:t>3.中高职课程衔接点说明</w:t>
      </w:r>
    </w:p>
    <w:p>
      <w:pPr>
        <w:widowControl/>
        <w:snapToGrid w:val="0"/>
        <w:ind w:firstLine="0"/>
        <w:jc w:val="left"/>
        <w:rPr>
          <w:rFonts w:ascii="仿宋" w:hAnsi="仿宋" w:eastAsia="仿宋"/>
          <w:color w:val="000000"/>
          <w:sz w:val="24"/>
        </w:rPr>
      </w:pPr>
    </w:p>
    <w:tbl>
      <w:tblPr>
        <w:tblStyle w:val="9"/>
        <w:tblW w:w="0" w:type="auto"/>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644"/>
        <w:gridCol w:w="3000"/>
        <w:gridCol w:w="3278"/>
        <w:gridCol w:w="1822"/>
        <w:gridCol w:w="3278"/>
        <w:gridCol w:w="1779"/>
      </w:tblGrid>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09" w:hRule="atLeast"/>
          <w:tblHeader/>
          <w:jc w:val="center"/>
        </w:trPr>
        <w:tc>
          <w:tcPr>
            <w:tcW w:w="6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rPr>
            </w:pPr>
          </w:p>
        </w:tc>
        <w:tc>
          <w:tcPr>
            <w:tcW w:w="3000"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rPr>
            </w:pPr>
          </w:p>
        </w:tc>
        <w:tc>
          <w:tcPr>
            <w:tcW w:w="5100" w:type="dxa"/>
            <w:gridSpan w:val="2"/>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rPr>
            </w:pPr>
            <w:r>
              <w:rPr>
                <w:rFonts w:hint="eastAsia" w:ascii="宋体" w:hAnsi="宋体" w:eastAsia="宋体" w:cs="宋体"/>
                <w:b/>
                <w:color w:val="000000"/>
                <w:sz w:val="21"/>
              </w:rPr>
              <w:t>中职阶段</w:t>
            </w:r>
          </w:p>
        </w:tc>
        <w:tc>
          <w:tcPr>
            <w:tcW w:w="5057" w:type="dxa"/>
            <w:gridSpan w:val="2"/>
            <w:tcBorders>
              <w:top w:val="single" w:color="000000" w:sz="8" w:space="0"/>
              <w:left w:val="single" w:color="000000" w:sz="4" w:space="0"/>
              <w:bottom w:val="single" w:color="000000" w:sz="8" w:space="0"/>
              <w:right w:val="single" w:color="000000" w:sz="4" w:space="0"/>
            </w:tcBorders>
            <w:tcMar>
              <w:top w:w="0" w:type="dxa"/>
              <w:left w:w="108" w:type="dxa"/>
              <w:bottom w:w="0" w:type="dxa"/>
              <w:right w:w="108" w:type="dxa"/>
            </w:tcMar>
          </w:tcPr>
          <w:p>
            <w:pPr>
              <w:snapToGrid w:val="0"/>
              <w:spacing w:before="120" w:after="120"/>
              <w:ind w:firstLine="0"/>
              <w:jc w:val="center"/>
              <w:rPr>
                <w:rFonts w:hint="eastAsia" w:ascii="宋体" w:hAnsi="宋体" w:eastAsia="宋体" w:cs="宋体"/>
                <w:b/>
                <w:color w:val="000000"/>
                <w:sz w:val="21"/>
              </w:rPr>
            </w:pPr>
            <w:r>
              <w:rPr>
                <w:rFonts w:hint="eastAsia" w:ascii="宋体" w:hAnsi="宋体" w:eastAsia="宋体" w:cs="宋体"/>
                <w:b/>
                <w:color w:val="000000"/>
                <w:sz w:val="21"/>
              </w:rPr>
              <w:t>高职阶段</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0" w:hRule="atLeast"/>
          <w:jc w:val="center"/>
        </w:trPr>
        <w:tc>
          <w:tcPr>
            <w:tcW w:w="644"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理论衔接点</w:t>
            </w:r>
          </w:p>
        </w:tc>
        <w:tc>
          <w:tcPr>
            <w:tcW w:w="30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1.市场调研理论知识（范例）</w:t>
            </w:r>
          </w:p>
        </w:tc>
        <w:tc>
          <w:tcPr>
            <w:tcW w:w="32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中职阶段需要掌握的理论知识点</w:t>
            </w:r>
          </w:p>
        </w:tc>
        <w:tc>
          <w:tcPr>
            <w:tcW w:w="1822"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课程名称1</w:t>
            </w:r>
          </w:p>
        </w:tc>
        <w:tc>
          <w:tcPr>
            <w:tcW w:w="3278" w:type="dxa"/>
            <w:tcBorders>
              <w:top w:val="single" w:color="000000" w:sz="8" w:space="0"/>
              <w:left w:val="single" w:color="000000" w:sz="4" w:space="0"/>
              <w:bottom w:val="single" w:color="000000" w:sz="8" w:space="0"/>
              <w:right w:val="single" w:color="000000" w:sz="4" w:space="0"/>
            </w:tcBorders>
            <w:tcMar>
              <w:top w:w="0" w:type="dxa"/>
              <w:left w:w="108" w:type="dxa"/>
              <w:bottom w:w="0" w:type="dxa"/>
              <w:right w:w="108" w:type="dxa"/>
            </w:tcMa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高职阶段需要掌握的理论知识点</w:t>
            </w:r>
          </w:p>
        </w:tc>
        <w:tc>
          <w:tcPr>
            <w:tcW w:w="1779" w:type="dxa"/>
            <w:tcBorders>
              <w:top w:val="single" w:color="000000" w:sz="8" w:space="0"/>
              <w:left w:val="single" w:color="000000" w:sz="4" w:space="0"/>
              <w:bottom w:val="single" w:color="000000" w:sz="8" w:space="0"/>
              <w:right w:val="single" w:color="000000" w:sz="4" w:space="0"/>
            </w:tcBorders>
            <w:tcMar>
              <w:top w:w="0" w:type="dxa"/>
              <w:left w:w="108" w:type="dxa"/>
              <w:bottom w:w="0" w:type="dxa"/>
              <w:right w:w="108" w:type="dxa"/>
            </w:tcMa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课程名称1</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0" w:hRule="atLeast"/>
          <w:jc w:val="center"/>
        </w:trPr>
        <w:tc>
          <w:tcPr>
            <w:tcW w:w="644"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p>
        </w:tc>
        <w:tc>
          <w:tcPr>
            <w:tcW w:w="30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rPr>
                <w:rFonts w:hint="eastAsia" w:ascii="宋体" w:hAnsi="宋体" w:eastAsia="宋体" w:cs="宋体"/>
                <w:b/>
                <w:color w:val="000000"/>
                <w:sz w:val="21"/>
              </w:rPr>
            </w:pPr>
            <w:r>
              <w:rPr>
                <w:rFonts w:hint="eastAsia" w:ascii="宋体" w:hAnsi="宋体" w:eastAsia="宋体" w:cs="宋体"/>
                <w:b/>
                <w:color w:val="000000"/>
                <w:sz w:val="21"/>
              </w:rPr>
              <w:t>2.</w:t>
            </w:r>
          </w:p>
        </w:tc>
        <w:tc>
          <w:tcPr>
            <w:tcW w:w="32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p>
        </w:tc>
        <w:tc>
          <w:tcPr>
            <w:tcW w:w="1822"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p>
        </w:tc>
        <w:tc>
          <w:tcPr>
            <w:tcW w:w="3278" w:type="dxa"/>
            <w:tcBorders>
              <w:top w:val="single" w:color="000000" w:sz="8" w:space="0"/>
              <w:left w:val="single" w:color="000000" w:sz="4" w:space="0"/>
              <w:bottom w:val="single" w:color="000000" w:sz="8" w:space="0"/>
              <w:right w:val="single" w:color="000000" w:sz="4" w:space="0"/>
            </w:tcBorders>
            <w:tcMar>
              <w:top w:w="0" w:type="dxa"/>
              <w:left w:w="108" w:type="dxa"/>
              <w:bottom w:w="0" w:type="dxa"/>
              <w:right w:w="108" w:type="dxa"/>
            </w:tcMar>
          </w:tcPr>
          <w:p>
            <w:pPr>
              <w:snapToGrid w:val="0"/>
              <w:ind w:firstLine="0"/>
              <w:jc w:val="center"/>
              <w:rPr>
                <w:rFonts w:hint="eastAsia" w:ascii="宋体" w:hAnsi="宋体" w:eastAsia="宋体" w:cs="宋体"/>
                <w:b/>
                <w:color w:val="000000"/>
                <w:sz w:val="21"/>
              </w:rPr>
            </w:pPr>
          </w:p>
        </w:tc>
        <w:tc>
          <w:tcPr>
            <w:tcW w:w="1779" w:type="dxa"/>
            <w:tcBorders>
              <w:top w:val="single" w:color="000000" w:sz="8" w:space="0"/>
              <w:left w:val="single" w:color="000000" w:sz="4" w:space="0"/>
              <w:bottom w:val="single" w:color="000000" w:sz="8" w:space="0"/>
              <w:right w:val="single" w:color="000000" w:sz="4" w:space="0"/>
            </w:tcBorders>
            <w:tcMar>
              <w:top w:w="0" w:type="dxa"/>
              <w:left w:w="108" w:type="dxa"/>
              <w:bottom w:w="0" w:type="dxa"/>
              <w:right w:w="108" w:type="dxa"/>
            </w:tcMar>
          </w:tcPr>
          <w:p>
            <w:pPr>
              <w:snapToGrid w:val="0"/>
              <w:ind w:firstLine="0"/>
              <w:jc w:val="center"/>
              <w:rPr>
                <w:rFonts w:hint="eastAsia" w:ascii="宋体" w:hAnsi="宋体" w:eastAsia="宋体" w:cs="宋体"/>
                <w:b/>
                <w:color w:val="000000"/>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644"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p>
        </w:tc>
        <w:tc>
          <w:tcPr>
            <w:tcW w:w="30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p>
        </w:tc>
        <w:tc>
          <w:tcPr>
            <w:tcW w:w="32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p>
        </w:tc>
        <w:tc>
          <w:tcPr>
            <w:tcW w:w="1822"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p>
        </w:tc>
        <w:tc>
          <w:tcPr>
            <w:tcW w:w="3278" w:type="dxa"/>
            <w:tcBorders>
              <w:top w:val="single" w:color="000000" w:sz="8" w:space="0"/>
              <w:left w:val="single" w:color="000000" w:sz="4" w:space="0"/>
              <w:bottom w:val="single" w:color="000000" w:sz="8" w:space="0"/>
              <w:right w:val="single" w:color="000000" w:sz="4" w:space="0"/>
            </w:tcBorders>
            <w:tcMar>
              <w:top w:w="0" w:type="dxa"/>
              <w:left w:w="108" w:type="dxa"/>
              <w:bottom w:w="0" w:type="dxa"/>
              <w:right w:w="108" w:type="dxa"/>
            </w:tcMar>
          </w:tcPr>
          <w:p>
            <w:pPr>
              <w:snapToGrid w:val="0"/>
              <w:ind w:firstLine="0"/>
              <w:jc w:val="center"/>
              <w:rPr>
                <w:rFonts w:hint="eastAsia" w:ascii="宋体" w:hAnsi="宋体" w:eastAsia="宋体" w:cs="宋体"/>
                <w:b/>
                <w:color w:val="000000"/>
                <w:sz w:val="21"/>
              </w:rPr>
            </w:pPr>
          </w:p>
        </w:tc>
        <w:tc>
          <w:tcPr>
            <w:tcW w:w="1779" w:type="dxa"/>
            <w:tcBorders>
              <w:top w:val="single" w:color="000000" w:sz="8" w:space="0"/>
              <w:left w:val="single" w:color="000000" w:sz="4" w:space="0"/>
              <w:bottom w:val="single" w:color="000000" w:sz="8" w:space="0"/>
              <w:right w:val="single" w:color="000000" w:sz="4" w:space="0"/>
            </w:tcBorders>
            <w:tcMar>
              <w:top w:w="0" w:type="dxa"/>
              <w:left w:w="108" w:type="dxa"/>
              <w:bottom w:w="0" w:type="dxa"/>
              <w:right w:w="108" w:type="dxa"/>
            </w:tcMar>
          </w:tcPr>
          <w:p>
            <w:pPr>
              <w:snapToGrid w:val="0"/>
              <w:ind w:firstLine="0"/>
              <w:jc w:val="center"/>
              <w:rPr>
                <w:rFonts w:hint="eastAsia" w:ascii="宋体" w:hAnsi="宋体" w:eastAsia="宋体" w:cs="宋体"/>
                <w:b/>
                <w:color w:val="000000"/>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22" w:hRule="atLeast"/>
          <w:jc w:val="center"/>
        </w:trPr>
        <w:tc>
          <w:tcPr>
            <w:tcW w:w="644"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技能衔接点</w:t>
            </w:r>
          </w:p>
        </w:tc>
        <w:tc>
          <w:tcPr>
            <w:tcW w:w="30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1.市场调研技能（范例）</w:t>
            </w:r>
          </w:p>
        </w:tc>
        <w:tc>
          <w:tcPr>
            <w:tcW w:w="32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中职阶段需要掌握的技能点</w:t>
            </w:r>
          </w:p>
        </w:tc>
        <w:tc>
          <w:tcPr>
            <w:tcW w:w="1822"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课程名称1</w:t>
            </w:r>
          </w:p>
        </w:tc>
        <w:tc>
          <w:tcPr>
            <w:tcW w:w="3278" w:type="dxa"/>
            <w:tcBorders>
              <w:top w:val="single" w:color="000000" w:sz="8" w:space="0"/>
              <w:left w:val="single" w:color="000000" w:sz="4" w:space="0"/>
              <w:bottom w:val="single" w:color="000000" w:sz="8" w:space="0"/>
              <w:right w:val="single" w:color="000000" w:sz="4" w:space="0"/>
            </w:tcBorders>
            <w:tcMar>
              <w:top w:w="0" w:type="dxa"/>
              <w:left w:w="108" w:type="dxa"/>
              <w:bottom w:w="0" w:type="dxa"/>
              <w:right w:w="108" w:type="dxa"/>
            </w:tcMa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高职阶段需要掌握的技能点</w:t>
            </w:r>
          </w:p>
        </w:tc>
        <w:tc>
          <w:tcPr>
            <w:tcW w:w="1779" w:type="dxa"/>
            <w:tcBorders>
              <w:top w:val="single" w:color="000000" w:sz="8" w:space="0"/>
              <w:left w:val="single" w:color="000000" w:sz="4" w:space="0"/>
              <w:bottom w:val="single" w:color="000000" w:sz="8" w:space="0"/>
              <w:right w:val="single" w:color="000000" w:sz="4" w:space="0"/>
            </w:tcBorders>
            <w:tcMar>
              <w:top w:w="0" w:type="dxa"/>
              <w:left w:w="108" w:type="dxa"/>
              <w:bottom w:w="0" w:type="dxa"/>
              <w:right w:w="108" w:type="dxa"/>
            </w:tcMa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课程名称1</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644"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p>
        </w:tc>
        <w:tc>
          <w:tcPr>
            <w:tcW w:w="30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left="211" w:firstLine="211"/>
              <w:rPr>
                <w:rFonts w:hint="eastAsia" w:ascii="宋体" w:hAnsi="宋体" w:eastAsia="宋体" w:cs="宋体"/>
                <w:b/>
                <w:color w:val="000000"/>
                <w:sz w:val="21"/>
              </w:rPr>
            </w:pPr>
            <w:r>
              <w:rPr>
                <w:rFonts w:hint="eastAsia" w:ascii="宋体" w:hAnsi="宋体" w:eastAsia="宋体" w:cs="宋体"/>
                <w:b/>
                <w:color w:val="000000"/>
                <w:sz w:val="21"/>
              </w:rPr>
              <w:t>2.</w:t>
            </w:r>
          </w:p>
        </w:tc>
        <w:tc>
          <w:tcPr>
            <w:tcW w:w="32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p>
        </w:tc>
        <w:tc>
          <w:tcPr>
            <w:tcW w:w="1822"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p>
        </w:tc>
        <w:tc>
          <w:tcPr>
            <w:tcW w:w="3278" w:type="dxa"/>
            <w:tcBorders>
              <w:top w:val="single" w:color="000000" w:sz="8" w:space="0"/>
              <w:left w:val="single" w:color="000000" w:sz="4" w:space="0"/>
              <w:bottom w:val="single" w:color="000000" w:sz="8" w:space="0"/>
              <w:right w:val="single" w:color="000000" w:sz="4" w:space="0"/>
            </w:tcBorders>
            <w:tcMar>
              <w:top w:w="0" w:type="dxa"/>
              <w:left w:w="108" w:type="dxa"/>
              <w:bottom w:w="0" w:type="dxa"/>
              <w:right w:w="108" w:type="dxa"/>
            </w:tcMar>
          </w:tcPr>
          <w:p>
            <w:pPr>
              <w:snapToGrid w:val="0"/>
              <w:ind w:firstLine="0"/>
              <w:jc w:val="center"/>
              <w:rPr>
                <w:rFonts w:hint="eastAsia" w:ascii="宋体" w:hAnsi="宋体" w:eastAsia="宋体" w:cs="宋体"/>
                <w:b/>
                <w:color w:val="000000"/>
                <w:sz w:val="21"/>
              </w:rPr>
            </w:pPr>
          </w:p>
        </w:tc>
        <w:tc>
          <w:tcPr>
            <w:tcW w:w="1779" w:type="dxa"/>
            <w:tcBorders>
              <w:top w:val="single" w:color="000000" w:sz="8" w:space="0"/>
              <w:left w:val="single" w:color="000000" w:sz="4" w:space="0"/>
              <w:bottom w:val="single" w:color="000000" w:sz="8" w:space="0"/>
              <w:right w:val="single" w:color="000000" w:sz="4" w:space="0"/>
            </w:tcBorders>
            <w:tcMar>
              <w:top w:w="0" w:type="dxa"/>
              <w:left w:w="108" w:type="dxa"/>
              <w:bottom w:w="0" w:type="dxa"/>
              <w:right w:w="108" w:type="dxa"/>
            </w:tcMar>
          </w:tcPr>
          <w:p>
            <w:pPr>
              <w:snapToGrid w:val="0"/>
              <w:ind w:firstLine="0"/>
              <w:jc w:val="center"/>
              <w:rPr>
                <w:rFonts w:hint="eastAsia" w:ascii="宋体" w:hAnsi="宋体" w:eastAsia="宋体" w:cs="宋体"/>
                <w:b/>
                <w:color w:val="000000"/>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644"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p>
        </w:tc>
        <w:tc>
          <w:tcPr>
            <w:tcW w:w="30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p>
        </w:tc>
        <w:tc>
          <w:tcPr>
            <w:tcW w:w="32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left="1476" w:firstLine="1476"/>
              <w:rPr>
                <w:rFonts w:hint="eastAsia" w:ascii="宋体" w:hAnsi="宋体" w:eastAsia="宋体" w:cs="宋体"/>
                <w:b/>
                <w:color w:val="000000"/>
                <w:sz w:val="21"/>
              </w:rPr>
            </w:pPr>
            <w:r>
              <w:rPr>
                <w:rFonts w:hint="eastAsia" w:ascii="宋体" w:hAnsi="宋体" w:eastAsia="宋体" w:cs="宋体"/>
                <w:b/>
                <w:color w:val="000000"/>
                <w:sz w:val="21"/>
              </w:rPr>
              <w:t>......</w:t>
            </w:r>
          </w:p>
        </w:tc>
        <w:tc>
          <w:tcPr>
            <w:tcW w:w="1822"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p>
        </w:tc>
        <w:tc>
          <w:tcPr>
            <w:tcW w:w="3278" w:type="dxa"/>
            <w:tcBorders>
              <w:top w:val="single" w:color="000000" w:sz="8" w:space="0"/>
              <w:left w:val="single" w:color="000000" w:sz="4" w:space="0"/>
              <w:bottom w:val="single" w:color="000000" w:sz="8" w:space="0"/>
              <w:right w:val="single" w:color="000000" w:sz="4" w:space="0"/>
            </w:tcBorders>
            <w:tcMar>
              <w:top w:w="0" w:type="dxa"/>
              <w:left w:w="108" w:type="dxa"/>
              <w:bottom w:w="0" w:type="dxa"/>
              <w:right w:w="108" w:type="dxa"/>
            </w:tcMar>
          </w:tcPr>
          <w:p>
            <w:pPr>
              <w:snapToGrid w:val="0"/>
              <w:ind w:firstLine="0"/>
              <w:jc w:val="center"/>
              <w:rPr>
                <w:rFonts w:hint="eastAsia" w:ascii="宋体" w:hAnsi="宋体" w:eastAsia="宋体" w:cs="宋体"/>
                <w:b/>
                <w:color w:val="000000"/>
                <w:sz w:val="21"/>
              </w:rPr>
            </w:pPr>
          </w:p>
        </w:tc>
        <w:tc>
          <w:tcPr>
            <w:tcW w:w="1779" w:type="dxa"/>
            <w:tcBorders>
              <w:top w:val="single" w:color="000000" w:sz="8" w:space="0"/>
              <w:left w:val="single" w:color="000000" w:sz="4" w:space="0"/>
              <w:bottom w:val="single" w:color="000000" w:sz="8" w:space="0"/>
              <w:right w:val="single" w:color="000000" w:sz="4" w:space="0"/>
            </w:tcBorders>
            <w:tcMar>
              <w:top w:w="0" w:type="dxa"/>
              <w:left w:w="108" w:type="dxa"/>
              <w:bottom w:w="0" w:type="dxa"/>
              <w:right w:w="108" w:type="dxa"/>
            </w:tcMar>
          </w:tcPr>
          <w:p>
            <w:pPr>
              <w:snapToGrid w:val="0"/>
              <w:ind w:firstLine="0"/>
              <w:jc w:val="center"/>
              <w:rPr>
                <w:rFonts w:hint="eastAsia" w:ascii="宋体" w:hAnsi="宋体" w:eastAsia="宋体" w:cs="宋体"/>
                <w:b/>
                <w:color w:val="000000"/>
                <w:sz w:val="21"/>
              </w:rPr>
            </w:pPr>
          </w:p>
        </w:tc>
      </w:tr>
    </w:tbl>
    <w:p>
      <w:pPr>
        <w:widowControl/>
        <w:snapToGrid w:val="0"/>
        <w:spacing w:line="400" w:lineRule="exact"/>
        <w:ind w:left="480" w:firstLine="480"/>
        <w:jc w:val="left"/>
        <w:rPr>
          <w:rFonts w:ascii="仿宋" w:hAnsi="仿宋" w:eastAsia="仿宋"/>
          <w:color w:val="000000"/>
          <w:sz w:val="24"/>
        </w:rPr>
      </w:pPr>
      <w:r>
        <w:rPr>
          <w:rFonts w:hint="eastAsia" w:ascii="仿宋" w:hAnsi="仿宋" w:eastAsia="仿宋"/>
          <w:color w:val="000000"/>
          <w:sz w:val="24"/>
        </w:rPr>
        <w:t>“</w:t>
      </w:r>
      <w:r>
        <w:rPr>
          <w:rFonts w:hint="eastAsia" w:ascii="仿宋" w:hAnsi="仿宋" w:eastAsia="仿宋"/>
          <w:b/>
          <w:color w:val="000000"/>
          <w:sz w:val="24"/>
        </w:rPr>
        <w:t>衔接点要求</w:t>
      </w:r>
      <w:r>
        <w:rPr>
          <w:rFonts w:hint="eastAsia" w:ascii="仿宋" w:hAnsi="仿宋" w:eastAsia="仿宋"/>
          <w:color w:val="000000"/>
          <w:sz w:val="24"/>
        </w:rPr>
        <w:t>”根据中高职衔接职业岗位进阶所分别需要的理论与技能填写，明确中职阶段和高职阶段相关课程应分别教授的内容。</w:t>
      </w:r>
    </w:p>
    <w:p>
      <w:pPr>
        <w:widowControl/>
        <w:snapToGrid w:val="0"/>
        <w:spacing w:line="400" w:lineRule="exact"/>
        <w:ind w:left="480" w:firstLine="480"/>
        <w:jc w:val="left"/>
        <w:rPr>
          <w:rFonts w:ascii="仿宋" w:hAnsi="仿宋" w:eastAsia="仿宋"/>
          <w:color w:val="000000"/>
          <w:sz w:val="24"/>
        </w:rPr>
      </w:pPr>
    </w:p>
    <w:p>
      <w:pPr>
        <w:widowControl/>
        <w:snapToGrid w:val="0"/>
        <w:ind w:left="482" w:firstLine="482"/>
        <w:jc w:val="left"/>
        <w:rPr>
          <w:rFonts w:ascii="仿宋" w:hAnsi="仿宋" w:eastAsia="仿宋"/>
          <w:b/>
          <w:color w:val="000000"/>
          <w:sz w:val="24"/>
        </w:rPr>
      </w:pPr>
      <w:r>
        <w:rPr>
          <w:rFonts w:hint="eastAsia" w:ascii="仿宋" w:hAnsi="仿宋" w:eastAsia="仿宋"/>
          <w:b/>
          <w:color w:val="000000"/>
          <w:sz w:val="24"/>
        </w:rPr>
        <w:t>㈢实践教学环节安排与说明</w:t>
      </w:r>
    </w:p>
    <w:p>
      <w:pPr>
        <w:widowControl/>
        <w:numPr>
          <w:ilvl w:val="0"/>
          <w:numId w:val="5"/>
        </w:numPr>
        <w:snapToGrid w:val="0"/>
        <w:ind w:left="482" w:firstLine="482"/>
        <w:jc w:val="left"/>
        <w:rPr>
          <w:rFonts w:hint="eastAsia" w:ascii="仿宋" w:hAnsi="仿宋" w:eastAsia="仿宋"/>
          <w:b/>
          <w:color w:val="000000"/>
          <w:sz w:val="24"/>
        </w:rPr>
      </w:pPr>
      <w:r>
        <w:rPr>
          <w:rFonts w:hint="eastAsia" w:ascii="仿宋" w:hAnsi="仿宋" w:eastAsia="仿宋"/>
          <w:b/>
          <w:color w:val="000000"/>
          <w:sz w:val="24"/>
        </w:rPr>
        <w:t>专业技能进阶培养路径图</w:t>
      </w:r>
    </w:p>
    <w:p>
      <w:pPr>
        <w:pStyle w:val="4"/>
        <w:ind w:firstLine="0"/>
        <w:rPr>
          <w:rFonts w:hint="eastAsia" w:ascii="仿宋" w:hAnsi="仿宋" w:eastAsia="仿宋"/>
          <w:color w:val="000000"/>
          <w:sz w:val="24"/>
        </w:rPr>
      </w:pPr>
      <w:r>
        <w:rPr>
          <w:rFonts w:hint="eastAsia" w:ascii="仿宋" w:hAnsi="仿宋" w:eastAsia="仿宋" w:cs="Times New Roman"/>
          <w:color w:val="000000"/>
          <w:sz w:val="24"/>
          <w:szCs w:val="20"/>
        </w:rPr>
        <w:t>学生具体实习岗位应基本覆盖专业所对应岗位（群）的典型工作任务。各专业需紧密契合专业岗位群的目标需要确定实践教学内容，明确逐级培养学生的岗位技能要求，通过逐级递增、环环相扣的实践课程设置，以图表形式体现专业课程产生的路径与技能培养相匹配，表现课程体系的设计思路与技能培养之间的关系。</w:t>
      </w:r>
    </w:p>
    <w:p>
      <w:pPr>
        <w:pStyle w:val="2"/>
        <w:numPr>
          <w:ilvl w:val="-1"/>
          <w:numId w:val="0"/>
        </w:numPr>
        <w:ind w:firstLine="0" w:firstLineChars="0"/>
      </w:pPr>
    </w:p>
    <w:tbl>
      <w:tblPr>
        <w:tblStyle w:val="9"/>
        <w:tblW w:w="0" w:type="auto"/>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534"/>
        <w:gridCol w:w="1670"/>
        <w:gridCol w:w="513"/>
        <w:gridCol w:w="1027"/>
        <w:gridCol w:w="1612"/>
        <w:gridCol w:w="478"/>
        <w:gridCol w:w="1579"/>
        <w:gridCol w:w="280"/>
        <w:gridCol w:w="258"/>
        <w:gridCol w:w="258"/>
        <w:gridCol w:w="258"/>
        <w:gridCol w:w="258"/>
        <w:gridCol w:w="258"/>
        <w:gridCol w:w="258"/>
        <w:gridCol w:w="259"/>
        <w:gridCol w:w="259"/>
        <w:gridCol w:w="259"/>
        <w:gridCol w:w="259"/>
        <w:gridCol w:w="259"/>
        <w:gridCol w:w="259"/>
        <w:gridCol w:w="238"/>
        <w:gridCol w:w="280"/>
        <w:gridCol w:w="259"/>
        <w:gridCol w:w="259"/>
        <w:gridCol w:w="238"/>
        <w:gridCol w:w="280"/>
        <w:gridCol w:w="259"/>
        <w:gridCol w:w="259"/>
        <w:gridCol w:w="259"/>
        <w:gridCol w:w="259"/>
        <w:gridCol w:w="259"/>
        <w:gridCol w:w="259"/>
        <w:gridCol w:w="259"/>
        <w:gridCol w:w="259"/>
        <w:gridCol w:w="259"/>
      </w:tblGrid>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70" w:hRule="atLeast"/>
          <w:jc w:val="center"/>
        </w:trPr>
        <w:tc>
          <w:tcPr>
            <w:tcW w:w="53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21"/>
              </w:rPr>
            </w:pPr>
            <w:r>
              <w:rPr>
                <w:rFonts w:hint="eastAsia" w:ascii="仿宋" w:hAnsi="仿宋" w:eastAsia="仿宋"/>
                <w:b/>
                <w:color w:val="000000"/>
                <w:sz w:val="21"/>
              </w:rPr>
              <w:t>学期</w:t>
            </w:r>
          </w:p>
        </w:tc>
        <w:tc>
          <w:tcPr>
            <w:tcW w:w="167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21"/>
              </w:rPr>
            </w:pPr>
            <w:r>
              <w:rPr>
                <w:rFonts w:hint="eastAsia" w:ascii="仿宋" w:hAnsi="仿宋" w:eastAsia="仿宋"/>
                <w:b/>
                <w:color w:val="000000"/>
                <w:sz w:val="21"/>
              </w:rPr>
              <w:t>实训项目名称</w:t>
            </w:r>
          </w:p>
        </w:tc>
        <w:tc>
          <w:tcPr>
            <w:tcW w:w="51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21"/>
              </w:rPr>
            </w:pPr>
            <w:r>
              <w:rPr>
                <w:rFonts w:hint="eastAsia" w:ascii="仿宋" w:hAnsi="仿宋" w:eastAsia="仿宋"/>
                <w:b/>
                <w:color w:val="000000"/>
                <w:sz w:val="21"/>
              </w:rPr>
              <w:t>项目学时</w:t>
            </w:r>
          </w:p>
        </w:tc>
        <w:tc>
          <w:tcPr>
            <w:tcW w:w="102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21"/>
              </w:rPr>
            </w:pPr>
            <w:r>
              <w:rPr>
                <w:rFonts w:hint="eastAsia" w:ascii="仿宋" w:hAnsi="仿宋" w:eastAsia="仿宋"/>
                <w:b/>
                <w:color w:val="000000"/>
                <w:sz w:val="21"/>
              </w:rPr>
              <w:t>类型</w:t>
            </w:r>
          </w:p>
        </w:tc>
        <w:tc>
          <w:tcPr>
            <w:tcW w:w="161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21"/>
              </w:rPr>
            </w:pPr>
            <w:r>
              <w:rPr>
                <w:rFonts w:hint="eastAsia" w:ascii="仿宋" w:hAnsi="仿宋" w:eastAsia="仿宋"/>
                <w:b/>
                <w:color w:val="000000"/>
                <w:sz w:val="21"/>
              </w:rPr>
              <w:t>课程名称</w:t>
            </w:r>
          </w:p>
        </w:tc>
        <w:tc>
          <w:tcPr>
            <w:tcW w:w="47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21"/>
              </w:rPr>
            </w:pPr>
            <w:r>
              <w:rPr>
                <w:rFonts w:hint="eastAsia" w:ascii="仿宋" w:hAnsi="仿宋" w:eastAsia="仿宋"/>
                <w:b/>
                <w:color w:val="000000"/>
                <w:sz w:val="21"/>
              </w:rPr>
              <w:t>课程学时</w:t>
            </w:r>
          </w:p>
        </w:tc>
        <w:tc>
          <w:tcPr>
            <w:tcW w:w="157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21"/>
              </w:rPr>
            </w:pPr>
            <w:r>
              <w:rPr>
                <w:rFonts w:hint="eastAsia" w:ascii="仿宋" w:hAnsi="仿宋" w:eastAsia="仿宋"/>
                <w:b/>
                <w:color w:val="000000"/>
                <w:sz w:val="21"/>
              </w:rPr>
              <w:t>对应技能</w:t>
            </w:r>
          </w:p>
        </w:tc>
        <w:tc>
          <w:tcPr>
            <w:tcW w:w="5195" w:type="dxa"/>
            <w:gridSpan w:val="20"/>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21"/>
              </w:rPr>
            </w:pPr>
            <w:r>
              <w:rPr>
                <w:rFonts w:hint="eastAsia" w:ascii="仿宋" w:hAnsi="仿宋" w:eastAsia="仿宋"/>
                <w:b/>
                <w:color w:val="000000"/>
                <w:sz w:val="21"/>
              </w:rPr>
              <w:t>学期周次</w:t>
            </w:r>
          </w:p>
        </w:tc>
        <w:tc>
          <w:tcPr>
            <w:tcW w:w="2072" w:type="dxa"/>
            <w:gridSpan w:val="8"/>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21"/>
              </w:rPr>
            </w:pPr>
            <w:r>
              <w:rPr>
                <w:rFonts w:hint="eastAsia" w:ascii="仿宋" w:hAnsi="仿宋" w:eastAsia="仿宋"/>
                <w:b/>
                <w:color w:val="000000"/>
                <w:sz w:val="21"/>
              </w:rPr>
              <w:t>假期周次</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36"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21"/>
              </w:rPr>
            </w:pPr>
          </w:p>
        </w:tc>
        <w:tc>
          <w:tcPr>
            <w:tcW w:w="167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21"/>
              </w:rPr>
            </w:pPr>
          </w:p>
        </w:tc>
        <w:tc>
          <w:tcPr>
            <w:tcW w:w="51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21"/>
              </w:rPr>
            </w:pPr>
          </w:p>
        </w:tc>
        <w:tc>
          <w:tcPr>
            <w:tcW w:w="10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21"/>
              </w:rPr>
            </w:pPr>
          </w:p>
        </w:tc>
        <w:tc>
          <w:tcPr>
            <w:tcW w:w="16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21"/>
              </w:rPr>
            </w:pPr>
          </w:p>
        </w:tc>
        <w:tc>
          <w:tcPr>
            <w:tcW w:w="47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21"/>
              </w:rPr>
            </w:pPr>
          </w:p>
        </w:tc>
        <w:tc>
          <w:tcPr>
            <w:tcW w:w="157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21"/>
              </w:rPr>
            </w:pPr>
          </w:p>
        </w:tc>
        <w:tc>
          <w:tcPr>
            <w:tcW w:w="28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1</w:t>
            </w: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2</w:t>
            </w: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3</w:t>
            </w: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4</w:t>
            </w: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5</w:t>
            </w: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6</w:t>
            </w: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7</w:t>
            </w: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8</w:t>
            </w: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9</w:t>
            </w: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10</w:t>
            </w: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11</w:t>
            </w: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12</w:t>
            </w: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13</w:t>
            </w: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14</w:t>
            </w: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15</w:t>
            </w: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16</w:t>
            </w: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17</w:t>
            </w: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18</w:t>
            </w: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19</w:t>
            </w: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20</w:t>
            </w: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1</w:t>
            </w: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2</w:t>
            </w: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ascii="仿宋" w:hAnsi="仿宋" w:eastAsia="仿宋"/>
                <w:b/>
                <w:color w:val="000000"/>
                <w:sz w:val="18"/>
              </w:rPr>
            </w:pPr>
            <w:r>
              <w:rPr>
                <w:rFonts w:ascii="仿宋" w:hAnsi="仿宋" w:eastAsia="仿宋"/>
                <w:b/>
                <w:color w:val="000000"/>
                <w:sz w:val="18"/>
              </w:rPr>
              <w:t>3</w:t>
            </w: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b/>
                <w:color w:val="000000"/>
                <w:sz w:val="18"/>
              </w:rPr>
            </w:pPr>
            <w:r>
              <w:rPr>
                <w:b/>
                <w:color w:val="000000"/>
                <w:sz w:val="18"/>
              </w:rPr>
              <w:t>4</w:t>
            </w: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b/>
                <w:color w:val="000000"/>
                <w:sz w:val="18"/>
              </w:rPr>
            </w:pPr>
            <w:r>
              <w:rPr>
                <w:b/>
                <w:color w:val="000000"/>
                <w:sz w:val="18"/>
              </w:rPr>
              <w:t>5</w:t>
            </w: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b/>
                <w:color w:val="000000"/>
                <w:sz w:val="18"/>
              </w:rPr>
            </w:pPr>
            <w:r>
              <w:rPr>
                <w:b/>
                <w:color w:val="000000"/>
                <w:sz w:val="18"/>
              </w:rPr>
              <w:t>6</w:t>
            </w: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b/>
                <w:color w:val="000000"/>
                <w:sz w:val="18"/>
              </w:rPr>
            </w:pPr>
            <w:r>
              <w:rPr>
                <w:b/>
                <w:color w:val="000000"/>
                <w:sz w:val="18"/>
              </w:rPr>
              <w:t>7</w:t>
            </w: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b/>
                <w:color w:val="000000"/>
                <w:sz w:val="18"/>
              </w:rPr>
            </w:pPr>
            <w:r>
              <w:rPr>
                <w:b/>
                <w:color w:val="000000"/>
                <w:sz w:val="18"/>
              </w:rPr>
              <w:t>8</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435" w:hRule="atLeast"/>
          <w:jc w:val="center"/>
        </w:trPr>
        <w:tc>
          <w:tcPr>
            <w:tcW w:w="534" w:type="dxa"/>
            <w:vMerge w:val="restart"/>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rFonts w:ascii="仿宋_GB2312" w:eastAsia="仿宋_GB2312"/>
                <w:b/>
                <w:color w:val="000000"/>
                <w:sz w:val="18"/>
              </w:rPr>
            </w:pPr>
            <w:r>
              <w:rPr>
                <w:rFonts w:hint="eastAsia" w:ascii="仿宋_GB2312" w:eastAsia="仿宋_GB2312"/>
                <w:b/>
                <w:color w:val="000000"/>
                <w:sz w:val="18"/>
              </w:rPr>
              <w:t>一</w:t>
            </w:r>
          </w:p>
        </w:tc>
        <w:tc>
          <w:tcPr>
            <w:tcW w:w="1670"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continue"/>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rFonts w:ascii="仿宋_GB2312" w:eastAsia="仿宋_GB2312"/>
                <w:b/>
                <w:color w:val="000000"/>
                <w:sz w:val="18"/>
              </w:rPr>
            </w:pPr>
          </w:p>
        </w:tc>
        <w:tc>
          <w:tcPr>
            <w:tcW w:w="1670"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continue"/>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rFonts w:ascii="仿宋_GB2312" w:eastAsia="仿宋_GB2312"/>
                <w:b/>
                <w:color w:val="000000"/>
                <w:sz w:val="18"/>
              </w:rPr>
            </w:pPr>
          </w:p>
        </w:tc>
        <w:tc>
          <w:tcPr>
            <w:tcW w:w="1670"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restart"/>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rFonts w:ascii="仿宋_GB2312" w:eastAsia="仿宋_GB2312"/>
                <w:b/>
                <w:color w:val="000000"/>
                <w:sz w:val="18"/>
              </w:rPr>
            </w:pPr>
            <w:r>
              <w:rPr>
                <w:rFonts w:hint="eastAsia" w:ascii="仿宋_GB2312" w:eastAsia="仿宋_GB2312"/>
                <w:b/>
                <w:color w:val="000000"/>
                <w:sz w:val="18"/>
              </w:rPr>
              <w:t>二</w:t>
            </w:r>
          </w:p>
        </w:tc>
        <w:tc>
          <w:tcPr>
            <w:tcW w:w="1670"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continue"/>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rFonts w:ascii="仿宋_GB2312" w:eastAsia="仿宋_GB2312"/>
                <w:b/>
                <w:color w:val="000000"/>
                <w:sz w:val="18"/>
              </w:rPr>
            </w:pPr>
          </w:p>
        </w:tc>
        <w:tc>
          <w:tcPr>
            <w:tcW w:w="1670"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continue"/>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rFonts w:ascii="仿宋_GB2312" w:eastAsia="仿宋_GB2312"/>
                <w:b/>
                <w:color w:val="000000"/>
                <w:sz w:val="18"/>
              </w:rPr>
            </w:pPr>
          </w:p>
        </w:tc>
        <w:tc>
          <w:tcPr>
            <w:tcW w:w="1670"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restart"/>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rFonts w:ascii="仿宋_GB2312" w:eastAsia="仿宋_GB2312"/>
                <w:b/>
                <w:color w:val="000000"/>
                <w:sz w:val="18"/>
              </w:rPr>
            </w:pPr>
            <w:r>
              <w:rPr>
                <w:rFonts w:hint="eastAsia" w:ascii="仿宋_GB2312" w:eastAsia="仿宋_GB2312"/>
                <w:b/>
                <w:color w:val="000000"/>
                <w:sz w:val="18"/>
              </w:rPr>
              <w:t>三</w:t>
            </w:r>
          </w:p>
        </w:tc>
        <w:tc>
          <w:tcPr>
            <w:tcW w:w="1670"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continue"/>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rFonts w:ascii="仿宋_GB2312" w:eastAsia="仿宋_GB2312"/>
                <w:b/>
                <w:color w:val="000000"/>
                <w:sz w:val="18"/>
              </w:rPr>
            </w:pPr>
          </w:p>
        </w:tc>
        <w:tc>
          <w:tcPr>
            <w:tcW w:w="1670"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shd w:val="clear" w:color="auto" w:fill="auto"/>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rFonts w:ascii="仿宋_GB2312" w:eastAsia="仿宋_GB2312"/>
                <w:b/>
                <w:color w:val="000000"/>
                <w:sz w:val="18"/>
              </w:rPr>
            </w:pPr>
          </w:p>
        </w:tc>
        <w:tc>
          <w:tcPr>
            <w:tcW w:w="167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restart"/>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rFonts w:ascii="仿宋_GB2312" w:eastAsia="仿宋_GB2312"/>
                <w:b/>
                <w:color w:val="000000"/>
                <w:sz w:val="18"/>
              </w:rPr>
            </w:pPr>
            <w:r>
              <w:rPr>
                <w:rFonts w:hint="eastAsia" w:ascii="仿宋_GB2312" w:eastAsia="仿宋_GB2312"/>
                <w:b/>
                <w:color w:val="000000"/>
                <w:sz w:val="18"/>
              </w:rPr>
              <w:t>四</w:t>
            </w:r>
          </w:p>
        </w:tc>
        <w:tc>
          <w:tcPr>
            <w:tcW w:w="167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rFonts w:ascii="仿宋_GB2312" w:eastAsia="仿宋_GB2312"/>
                <w:b/>
                <w:color w:val="000000"/>
                <w:sz w:val="18"/>
              </w:rPr>
            </w:pPr>
          </w:p>
        </w:tc>
        <w:tc>
          <w:tcPr>
            <w:tcW w:w="167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rFonts w:ascii="仿宋_GB2312" w:eastAsia="仿宋_GB2312"/>
                <w:b/>
                <w:color w:val="000000"/>
                <w:sz w:val="18"/>
              </w:rPr>
            </w:pPr>
          </w:p>
        </w:tc>
        <w:tc>
          <w:tcPr>
            <w:tcW w:w="167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restart"/>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rFonts w:ascii="仿宋_GB2312" w:eastAsia="仿宋_GB2312"/>
                <w:b/>
                <w:color w:val="000000"/>
                <w:sz w:val="18"/>
              </w:rPr>
            </w:pPr>
            <w:r>
              <w:rPr>
                <w:rFonts w:hint="eastAsia" w:ascii="仿宋_GB2312" w:eastAsia="仿宋_GB2312"/>
                <w:b/>
                <w:color w:val="000000"/>
                <w:sz w:val="18"/>
              </w:rPr>
              <w:t>五</w:t>
            </w:r>
          </w:p>
        </w:tc>
        <w:tc>
          <w:tcPr>
            <w:tcW w:w="167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rFonts w:ascii="仿宋_GB2312" w:eastAsia="仿宋_GB2312"/>
                <w:b/>
                <w:color w:val="000000"/>
                <w:sz w:val="18"/>
              </w:rPr>
            </w:pPr>
          </w:p>
        </w:tc>
        <w:tc>
          <w:tcPr>
            <w:tcW w:w="167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rFonts w:ascii="仿宋_GB2312" w:eastAsia="仿宋_GB2312"/>
                <w:b/>
                <w:color w:val="000000"/>
                <w:sz w:val="18"/>
              </w:rPr>
            </w:pPr>
          </w:p>
        </w:tc>
        <w:tc>
          <w:tcPr>
            <w:tcW w:w="167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restart"/>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rFonts w:ascii="仿宋_GB2312" w:eastAsia="仿宋_GB2312"/>
                <w:b/>
                <w:color w:val="000000"/>
                <w:sz w:val="18"/>
              </w:rPr>
            </w:pPr>
            <w:r>
              <w:rPr>
                <w:rFonts w:hint="eastAsia" w:ascii="仿宋_GB2312" w:eastAsia="仿宋_GB2312"/>
                <w:b/>
                <w:color w:val="000000"/>
                <w:sz w:val="18"/>
              </w:rPr>
              <w:t>六</w:t>
            </w:r>
          </w:p>
        </w:tc>
        <w:tc>
          <w:tcPr>
            <w:tcW w:w="167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rFonts w:ascii="仿宋_GB2312" w:eastAsia="仿宋_GB2312"/>
                <w:b/>
                <w:color w:val="000000"/>
                <w:sz w:val="18"/>
              </w:rPr>
            </w:pPr>
          </w:p>
        </w:tc>
        <w:tc>
          <w:tcPr>
            <w:tcW w:w="167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rFonts w:ascii="仿宋_GB2312" w:eastAsia="仿宋_GB2312"/>
                <w:b/>
                <w:color w:val="000000"/>
                <w:sz w:val="18"/>
              </w:rPr>
            </w:pPr>
          </w:p>
        </w:tc>
        <w:tc>
          <w:tcPr>
            <w:tcW w:w="167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restart"/>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b/>
                <w:color w:val="000000"/>
                <w:sz w:val="18"/>
              </w:rPr>
            </w:pPr>
            <w:r>
              <w:rPr>
                <w:rFonts w:hint="eastAsia"/>
                <w:b/>
                <w:color w:val="000000"/>
                <w:sz w:val="18"/>
              </w:rPr>
              <w:t>七</w:t>
            </w:r>
          </w:p>
        </w:tc>
        <w:tc>
          <w:tcPr>
            <w:tcW w:w="167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b/>
                <w:color w:val="000000"/>
                <w:sz w:val="18"/>
              </w:rPr>
            </w:pPr>
          </w:p>
        </w:tc>
        <w:tc>
          <w:tcPr>
            <w:tcW w:w="167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b/>
                <w:color w:val="000000"/>
                <w:sz w:val="18"/>
              </w:rPr>
            </w:pPr>
          </w:p>
        </w:tc>
        <w:tc>
          <w:tcPr>
            <w:tcW w:w="167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restart"/>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b/>
                <w:color w:val="000000"/>
                <w:sz w:val="18"/>
              </w:rPr>
            </w:pPr>
            <w:r>
              <w:rPr>
                <w:rFonts w:hint="eastAsia"/>
                <w:b/>
                <w:color w:val="000000"/>
                <w:sz w:val="18"/>
              </w:rPr>
              <w:t>八</w:t>
            </w:r>
          </w:p>
        </w:tc>
        <w:tc>
          <w:tcPr>
            <w:tcW w:w="167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b/>
                <w:color w:val="000000"/>
                <w:sz w:val="18"/>
              </w:rPr>
            </w:pPr>
          </w:p>
        </w:tc>
        <w:tc>
          <w:tcPr>
            <w:tcW w:w="167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b/>
                <w:color w:val="000000"/>
                <w:sz w:val="18"/>
              </w:rPr>
            </w:pPr>
          </w:p>
        </w:tc>
        <w:tc>
          <w:tcPr>
            <w:tcW w:w="167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restart"/>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b/>
                <w:color w:val="000000"/>
                <w:sz w:val="18"/>
              </w:rPr>
            </w:pPr>
            <w:r>
              <w:rPr>
                <w:rFonts w:hint="eastAsia"/>
                <w:b/>
                <w:color w:val="000000"/>
                <w:sz w:val="18"/>
              </w:rPr>
              <w:t>九</w:t>
            </w:r>
          </w:p>
        </w:tc>
        <w:tc>
          <w:tcPr>
            <w:tcW w:w="167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b/>
                <w:color w:val="000000"/>
                <w:sz w:val="18"/>
              </w:rPr>
            </w:pPr>
          </w:p>
        </w:tc>
        <w:tc>
          <w:tcPr>
            <w:tcW w:w="167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b/>
                <w:color w:val="000000"/>
                <w:sz w:val="18"/>
              </w:rPr>
            </w:pPr>
          </w:p>
        </w:tc>
        <w:tc>
          <w:tcPr>
            <w:tcW w:w="167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rFonts w:hint="eastAsia" w:eastAsia="宋体"/>
                <w:color w:val="000000"/>
                <w:sz w:val="18"/>
                <w:lang w:eastAsia="zh-CN"/>
              </w:rPr>
            </w:pPr>
          </w:p>
        </w:tc>
        <w:tc>
          <w:tcPr>
            <w:tcW w:w="513"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restart"/>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b/>
                <w:color w:val="000000" w:themeColor="text1"/>
                <w:sz w:val="18"/>
              </w:rPr>
            </w:pPr>
            <w:r>
              <w:rPr>
                <w:rFonts w:hint="eastAsia"/>
                <w:b/>
                <w:color w:val="000000" w:themeColor="text1"/>
                <w:sz w:val="18"/>
              </w:rPr>
              <w:t>十</w:t>
            </w:r>
          </w:p>
        </w:tc>
        <w:tc>
          <w:tcPr>
            <w:tcW w:w="167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rFonts w:hint="eastAsia" w:eastAsia="宋体"/>
                <w:color w:val="000000" w:themeColor="text1"/>
                <w:sz w:val="18"/>
                <w:lang w:eastAsia="zh-CN"/>
              </w:rPr>
            </w:pPr>
            <w:r>
              <w:rPr>
                <w:color w:val="000000" w:themeColor="text1"/>
                <w:sz w:val="18"/>
              </w:rPr>
              <w:t>1.</w:t>
            </w:r>
            <w:r>
              <w:rPr>
                <w:rFonts w:hint="eastAsia" w:eastAsia="宋体"/>
                <w:color w:val="000000" w:themeColor="text1"/>
                <w:sz w:val="18"/>
                <w:lang w:eastAsia="zh-CN"/>
              </w:rPr>
              <w:t>岗位</w:t>
            </w:r>
            <w:r>
              <w:rPr>
                <w:rFonts w:hint="eastAsia"/>
                <w:color w:val="000000" w:themeColor="text1"/>
                <w:sz w:val="18"/>
              </w:rPr>
              <w:t>实习</w:t>
            </w:r>
          </w:p>
        </w:tc>
        <w:tc>
          <w:tcPr>
            <w:tcW w:w="513"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b/>
                <w:color w:val="000000"/>
                <w:sz w:val="18"/>
              </w:rPr>
            </w:pPr>
          </w:p>
        </w:tc>
        <w:tc>
          <w:tcPr>
            <w:tcW w:w="167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r>
              <w:rPr>
                <w:color w:val="000000"/>
                <w:sz w:val="18"/>
              </w:rPr>
              <w:t>2.</w:t>
            </w:r>
            <w:r>
              <w:rPr>
                <w:rFonts w:hint="eastAsia"/>
                <w:color w:val="000000"/>
                <w:sz w:val="18"/>
              </w:rPr>
              <w:t>毕业设计</w:t>
            </w:r>
          </w:p>
        </w:tc>
        <w:tc>
          <w:tcPr>
            <w:tcW w:w="513"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534"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b/>
                <w:color w:val="000000"/>
                <w:sz w:val="18"/>
              </w:rPr>
            </w:pPr>
            <w:r>
              <w:rPr>
                <w:rFonts w:hint="eastAsia"/>
                <w:b/>
                <w:color w:val="000000"/>
                <w:sz w:val="18"/>
              </w:rPr>
              <w:t>总计</w:t>
            </w:r>
          </w:p>
        </w:tc>
        <w:tc>
          <w:tcPr>
            <w:tcW w:w="167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513"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027"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612"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47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157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38"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80"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c>
          <w:tcPr>
            <w:tcW w:w="259" w:type="dxa"/>
            <w:tcBorders>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jc w:val="center"/>
              <w:rPr>
                <w:color w:val="000000"/>
                <w:sz w:val="18"/>
              </w:rPr>
            </w:pPr>
          </w:p>
        </w:tc>
      </w:tr>
    </w:tbl>
    <w:p>
      <w:pPr>
        <w:widowControl/>
        <w:snapToGrid w:val="0"/>
        <w:spacing w:line="400" w:lineRule="exact"/>
        <w:ind w:left="480" w:firstLine="480"/>
        <w:jc w:val="left"/>
        <w:rPr>
          <w:rFonts w:ascii="仿宋" w:hAnsi="仿宋" w:eastAsia="仿宋"/>
          <w:color w:val="000000"/>
          <w:sz w:val="24"/>
        </w:rPr>
      </w:pPr>
      <w:r>
        <w:rPr>
          <w:rFonts w:hint="eastAsia" w:ascii="仿宋" w:hAnsi="仿宋" w:eastAsia="仿宋"/>
          <w:color w:val="000000"/>
          <w:sz w:val="24"/>
        </w:rPr>
        <w:t>“类型”分为实训和实习，实训有课内实训、专周实训；实习由认识实习、跟岗实习、顶岗实习。</w:t>
      </w:r>
    </w:p>
    <w:p>
      <w:pPr>
        <w:widowControl/>
        <w:snapToGrid w:val="0"/>
        <w:spacing w:line="400" w:lineRule="exact"/>
        <w:ind w:left="480" w:firstLine="480"/>
        <w:jc w:val="left"/>
        <w:rPr>
          <w:rFonts w:ascii="仿宋" w:hAnsi="仿宋" w:eastAsia="仿宋"/>
          <w:color w:val="000000"/>
          <w:sz w:val="24"/>
        </w:rPr>
      </w:pPr>
      <w:r>
        <w:rPr>
          <w:rFonts w:hint="eastAsia" w:ascii="仿宋" w:hAnsi="仿宋" w:eastAsia="仿宋"/>
          <w:color w:val="000000"/>
          <w:sz w:val="24"/>
        </w:rPr>
        <w:t>实训项目学期内编排顺序以起始周数靠前者优先。</w:t>
      </w:r>
    </w:p>
    <w:p>
      <w:pPr>
        <w:widowControl/>
        <w:snapToGrid w:val="0"/>
        <w:spacing w:line="400" w:lineRule="exact"/>
        <w:ind w:left="480" w:firstLine="480"/>
        <w:jc w:val="left"/>
        <w:rPr>
          <w:rFonts w:ascii="仿宋" w:hAnsi="仿宋" w:eastAsia="仿宋"/>
          <w:color w:val="000000"/>
          <w:sz w:val="24"/>
        </w:rPr>
      </w:pPr>
      <w:r>
        <w:rPr>
          <w:rFonts w:hint="eastAsia" w:ascii="仿宋" w:hAnsi="仿宋" w:eastAsia="仿宋"/>
          <w:color w:val="000000"/>
          <w:sz w:val="24"/>
        </w:rPr>
        <w:t>实训项目对应周次出去刷不同颜色底纹</w:t>
      </w:r>
      <w:r>
        <w:rPr>
          <w:rFonts w:ascii="仿宋" w:hAnsi="仿宋" w:eastAsia="仿宋"/>
          <w:color w:val="000000"/>
          <w:sz w:val="24"/>
        </w:rPr>
        <w:drawing>
          <wp:inline distT="0" distB="0" distL="114300" distR="114300">
            <wp:extent cx="418465" cy="304165"/>
            <wp:effectExtent l="0" t="0" r="635" b="63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4"/>
                    <a:stretch>
                      <a:fillRect/>
                    </a:stretch>
                  </pic:blipFill>
                  <pic:spPr>
                    <a:xfrm>
                      <a:off x="0" y="0"/>
                      <a:ext cx="418465" cy="304165"/>
                    </a:xfrm>
                    <a:prstGeom prst="rect">
                      <a:avLst/>
                    </a:prstGeom>
                    <a:noFill/>
                    <a:ln>
                      <a:noFill/>
                    </a:ln>
                  </pic:spPr>
                </pic:pic>
              </a:graphicData>
            </a:graphic>
          </wp:inline>
        </w:drawing>
      </w:r>
      <w:r>
        <w:rPr>
          <w:rFonts w:hint="eastAsia" w:ascii="仿宋" w:hAnsi="仿宋" w:eastAsia="仿宋"/>
          <w:color w:val="000000"/>
          <w:sz w:val="24"/>
        </w:rPr>
        <w:t>的方式加以区别。</w:t>
      </w:r>
    </w:p>
    <w:p>
      <w:pPr>
        <w:widowControl/>
        <w:snapToGrid w:val="0"/>
        <w:ind w:left="480" w:firstLine="480"/>
        <w:jc w:val="left"/>
        <w:rPr>
          <w:rFonts w:ascii="仿宋" w:hAnsi="仿宋" w:eastAsia="仿宋"/>
          <w:color w:val="000000"/>
          <w:sz w:val="24"/>
        </w:rPr>
      </w:pPr>
    </w:p>
    <w:p>
      <w:pPr>
        <w:widowControl/>
        <w:snapToGrid w:val="0"/>
        <w:ind w:left="482" w:firstLine="482"/>
        <w:jc w:val="left"/>
        <w:rPr>
          <w:rFonts w:ascii="仿宋" w:hAnsi="仿宋" w:eastAsia="仿宋"/>
          <w:b/>
          <w:color w:val="000000"/>
          <w:sz w:val="24"/>
        </w:rPr>
      </w:pPr>
      <w:r>
        <w:rPr>
          <w:rFonts w:ascii="仿宋" w:hAnsi="仿宋" w:eastAsia="仿宋"/>
          <w:b/>
          <w:color w:val="000000"/>
          <w:sz w:val="24"/>
        </w:rPr>
        <w:t>2.</w:t>
      </w:r>
      <w:r>
        <w:rPr>
          <w:rFonts w:hint="eastAsia" w:ascii="仿宋" w:hAnsi="仿宋" w:eastAsia="仿宋"/>
          <w:b/>
          <w:color w:val="000000"/>
          <w:sz w:val="24"/>
        </w:rPr>
        <w:t>实习实训教学环节（含独立设置的专周实训）</w:t>
      </w:r>
    </w:p>
    <w:tbl>
      <w:tblPr>
        <w:tblStyle w:val="9"/>
        <w:tblW w:w="14546"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693"/>
        <w:gridCol w:w="1550"/>
        <w:gridCol w:w="583"/>
        <w:gridCol w:w="618"/>
        <w:gridCol w:w="2653"/>
        <w:gridCol w:w="1163"/>
        <w:gridCol w:w="1500"/>
        <w:gridCol w:w="1080"/>
        <w:gridCol w:w="1500"/>
        <w:gridCol w:w="735"/>
        <w:gridCol w:w="1230"/>
        <w:gridCol w:w="816"/>
        <w:gridCol w:w="425"/>
      </w:tblGrid>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tblHeader/>
          <w:jc w:val="center"/>
        </w:trPr>
        <w:tc>
          <w:tcPr>
            <w:tcW w:w="69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序号</w:t>
            </w:r>
          </w:p>
        </w:tc>
        <w:tc>
          <w:tcPr>
            <w:tcW w:w="15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实践教学环节名称</w:t>
            </w:r>
          </w:p>
        </w:tc>
        <w:tc>
          <w:tcPr>
            <w:tcW w:w="58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学期</w:t>
            </w:r>
          </w:p>
        </w:tc>
        <w:tc>
          <w:tcPr>
            <w:tcW w:w="61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周数</w:t>
            </w:r>
          </w:p>
        </w:tc>
        <w:tc>
          <w:tcPr>
            <w:tcW w:w="265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技能实训主要内容</w:t>
            </w:r>
          </w:p>
        </w:tc>
        <w:tc>
          <w:tcPr>
            <w:tcW w:w="116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实训形式</w:t>
            </w:r>
          </w:p>
        </w:tc>
        <w:tc>
          <w:tcPr>
            <w:tcW w:w="15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主要技能要求（或标准）</w:t>
            </w:r>
          </w:p>
        </w:tc>
        <w:tc>
          <w:tcPr>
            <w:tcW w:w="108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实践育人</w:t>
            </w:r>
          </w:p>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融合点</w:t>
            </w:r>
          </w:p>
        </w:tc>
        <w:tc>
          <w:tcPr>
            <w:tcW w:w="15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劳动精神教育融合点</w:t>
            </w:r>
          </w:p>
        </w:tc>
        <w:tc>
          <w:tcPr>
            <w:tcW w:w="73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实训地点</w:t>
            </w:r>
          </w:p>
        </w:tc>
        <w:tc>
          <w:tcPr>
            <w:tcW w:w="12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考核方式</w:t>
            </w:r>
          </w:p>
        </w:tc>
        <w:tc>
          <w:tcPr>
            <w:tcW w:w="81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条件要求及保障</w:t>
            </w:r>
          </w:p>
        </w:tc>
        <w:tc>
          <w:tcPr>
            <w:tcW w:w="4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备注</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69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5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58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61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265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16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15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08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5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73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12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81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4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69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5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58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61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265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16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15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08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5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73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12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81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4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69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5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58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61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265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16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15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08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5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73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12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81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4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69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5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58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61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265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16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15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08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5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73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12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81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4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69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5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58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61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265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16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15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08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5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73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12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81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4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69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5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58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61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265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16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15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08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5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73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12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81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4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69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5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仿宋" w:hAnsi="仿宋" w:eastAsia="仿宋"/>
                <w:color w:val="000000"/>
                <w:sz w:val="21"/>
                <w:lang w:eastAsia="zh-CN"/>
              </w:rPr>
            </w:pPr>
          </w:p>
        </w:tc>
        <w:tc>
          <w:tcPr>
            <w:tcW w:w="58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仿宋" w:hAnsi="仿宋" w:eastAsia="仿宋"/>
                <w:color w:val="000000"/>
                <w:sz w:val="21"/>
                <w:lang w:val="en-US" w:eastAsia="zh-CN"/>
              </w:rPr>
            </w:pPr>
          </w:p>
        </w:tc>
        <w:tc>
          <w:tcPr>
            <w:tcW w:w="61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default" w:ascii="仿宋" w:hAnsi="仿宋" w:eastAsia="仿宋"/>
                <w:color w:val="000000"/>
                <w:sz w:val="21"/>
                <w:lang w:val="en-US" w:eastAsia="zh-CN"/>
              </w:rPr>
            </w:pPr>
          </w:p>
        </w:tc>
        <w:tc>
          <w:tcPr>
            <w:tcW w:w="265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16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15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08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5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73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12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81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4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69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5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lang w:val="en-US" w:eastAsia="zh-CN"/>
              </w:rPr>
            </w:pPr>
            <w:r>
              <w:rPr>
                <w:rFonts w:hint="eastAsia" w:eastAsia="宋体" w:cs="宋体"/>
                <w:color w:val="000000" w:themeColor="text1"/>
                <w:sz w:val="21"/>
                <w:lang w:eastAsia="zh-CN"/>
              </w:rPr>
              <w:t>岗位</w:t>
            </w:r>
            <w:r>
              <w:rPr>
                <w:rFonts w:hint="eastAsia" w:ascii="宋体" w:hAnsi="宋体" w:eastAsia="宋体" w:cs="宋体"/>
                <w:color w:val="000000" w:themeColor="text1"/>
                <w:sz w:val="21"/>
              </w:rPr>
              <w:t>实习</w:t>
            </w:r>
          </w:p>
        </w:tc>
        <w:tc>
          <w:tcPr>
            <w:tcW w:w="58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default" w:ascii="仿宋" w:hAnsi="仿宋" w:eastAsia="仿宋"/>
                <w:color w:val="000000"/>
                <w:sz w:val="21"/>
                <w:lang w:val="en-US" w:eastAsia="zh-CN"/>
              </w:rPr>
            </w:pPr>
          </w:p>
        </w:tc>
        <w:tc>
          <w:tcPr>
            <w:tcW w:w="61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265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16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15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08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5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73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12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81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4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69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5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毕业论文（毕业设计）</w:t>
            </w:r>
          </w:p>
        </w:tc>
        <w:tc>
          <w:tcPr>
            <w:tcW w:w="58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default" w:ascii="仿宋" w:hAnsi="仿宋" w:eastAsia="仿宋"/>
                <w:color w:val="000000"/>
                <w:sz w:val="21"/>
                <w:lang w:val="en-US" w:eastAsia="zh-CN"/>
              </w:rPr>
            </w:pPr>
            <w:r>
              <w:rPr>
                <w:rFonts w:hint="eastAsia" w:ascii="仿宋" w:hAnsi="仿宋" w:eastAsia="仿宋"/>
                <w:color w:val="000000"/>
                <w:sz w:val="21"/>
                <w:lang w:val="en-US" w:eastAsia="zh-CN"/>
              </w:rPr>
              <w:t>10</w:t>
            </w:r>
          </w:p>
        </w:tc>
        <w:tc>
          <w:tcPr>
            <w:tcW w:w="61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r>
              <w:rPr>
                <w:rFonts w:ascii="仿宋" w:hAnsi="仿宋" w:eastAsia="仿宋"/>
                <w:color w:val="000000"/>
                <w:sz w:val="21"/>
              </w:rPr>
              <w:t>3</w:t>
            </w:r>
          </w:p>
        </w:tc>
        <w:tc>
          <w:tcPr>
            <w:tcW w:w="265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16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15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08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150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73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12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ascii="仿宋" w:hAnsi="仿宋" w:eastAsia="仿宋"/>
                <w:color w:val="000000"/>
                <w:sz w:val="21"/>
              </w:rPr>
            </w:pPr>
          </w:p>
        </w:tc>
        <w:tc>
          <w:tcPr>
            <w:tcW w:w="81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c>
          <w:tcPr>
            <w:tcW w:w="4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ascii="仿宋" w:hAnsi="仿宋" w:eastAsia="仿宋"/>
                <w:color w:val="000000"/>
                <w:sz w:val="21"/>
              </w:rPr>
            </w:pPr>
          </w:p>
        </w:tc>
      </w:tr>
    </w:tbl>
    <w:p>
      <w:pPr>
        <w:widowControl/>
        <w:snapToGrid w:val="0"/>
        <w:ind w:left="422" w:firstLine="422"/>
        <w:jc w:val="left"/>
        <w:rPr>
          <w:rFonts w:ascii="仿宋" w:hAnsi="仿宋" w:eastAsia="仿宋"/>
          <w:color w:val="000000"/>
          <w:sz w:val="24"/>
        </w:rPr>
      </w:pPr>
      <w:r>
        <w:rPr>
          <w:rFonts w:hint="eastAsia" w:ascii="仿宋" w:hAnsi="仿宋" w:eastAsia="仿宋"/>
          <w:b/>
          <w:color w:val="000000"/>
          <w:sz w:val="21"/>
        </w:rPr>
        <w:t>“实习实训形式”</w:t>
      </w:r>
      <w:r>
        <w:rPr>
          <w:rFonts w:hint="eastAsia" w:ascii="仿宋" w:hAnsi="仿宋" w:eastAsia="仿宋"/>
          <w:color w:val="000000"/>
          <w:sz w:val="24"/>
        </w:rPr>
        <w:t>分为校内、校外；观摩、模拟实操、项目实战。</w:t>
      </w:r>
    </w:p>
    <w:p>
      <w:pPr>
        <w:widowControl/>
        <w:snapToGrid w:val="0"/>
        <w:ind w:left="422" w:firstLine="422"/>
        <w:jc w:val="left"/>
        <w:rPr>
          <w:rFonts w:ascii="仿宋" w:hAnsi="仿宋" w:eastAsia="仿宋"/>
          <w:color w:val="000000"/>
          <w:sz w:val="24"/>
        </w:rPr>
      </w:pPr>
      <w:r>
        <w:rPr>
          <w:rFonts w:hint="eastAsia" w:ascii="仿宋" w:hAnsi="仿宋" w:eastAsia="仿宋"/>
          <w:b/>
          <w:color w:val="000000"/>
          <w:sz w:val="21"/>
        </w:rPr>
        <w:t>“实践育人融合点”</w:t>
      </w:r>
      <w:r>
        <w:rPr>
          <w:rFonts w:hint="eastAsia" w:ascii="仿宋" w:hAnsi="仿宋" w:eastAsia="仿宋"/>
          <w:color w:val="000000"/>
          <w:sz w:val="24"/>
        </w:rPr>
        <w:t>主要描述该实训项目在实践教学中应重点突出的课程思政、励园文化元素，列出社会主义核心价值观的主要具体培养和塑造点，以及“励园文化”品牌“励志成才·匠心筑梦·爱心奉献”三大内涵主要对应点。</w:t>
      </w:r>
    </w:p>
    <w:p>
      <w:pPr>
        <w:widowControl/>
        <w:snapToGrid w:val="0"/>
        <w:ind w:left="480" w:firstLine="480"/>
        <w:jc w:val="left"/>
        <w:rPr>
          <w:rFonts w:ascii="仿宋" w:hAnsi="仿宋" w:eastAsia="仿宋"/>
          <w:color w:val="000000"/>
          <w:sz w:val="24"/>
        </w:rPr>
      </w:pPr>
    </w:p>
    <w:p>
      <w:pPr>
        <w:widowControl/>
        <w:snapToGrid w:val="0"/>
        <w:ind w:left="482" w:firstLine="482"/>
        <w:jc w:val="left"/>
        <w:rPr>
          <w:rFonts w:ascii="仿宋" w:hAnsi="仿宋" w:eastAsia="仿宋"/>
          <w:b/>
          <w:color w:val="000000"/>
          <w:sz w:val="28"/>
        </w:rPr>
      </w:pPr>
      <w:r>
        <w:rPr>
          <w:rFonts w:hint="eastAsia" w:ascii="仿宋" w:hAnsi="仿宋" w:eastAsia="仿宋"/>
          <w:b/>
          <w:color w:val="000000"/>
          <w:sz w:val="24"/>
        </w:rPr>
        <w:t>(四）专业课程与1+X证书融合点说明(有此项目的专业填写）</w:t>
      </w:r>
    </w:p>
    <w:tbl>
      <w:tblPr>
        <w:tblStyle w:val="9"/>
        <w:tblW w:w="13758"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992"/>
        <w:gridCol w:w="2331"/>
        <w:gridCol w:w="2304"/>
        <w:gridCol w:w="2886"/>
        <w:gridCol w:w="4111"/>
        <w:gridCol w:w="1134"/>
      </w:tblGrid>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39" w:hRule="atLeast"/>
          <w:tblHeader/>
          <w:jc w:val="center"/>
        </w:trPr>
        <w:tc>
          <w:tcPr>
            <w:tcW w:w="99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教育阶段</w:t>
            </w:r>
          </w:p>
        </w:tc>
        <w:tc>
          <w:tcPr>
            <w:tcW w:w="233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课程类型</w:t>
            </w:r>
          </w:p>
        </w:tc>
        <w:tc>
          <w:tcPr>
            <w:tcW w:w="230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课程名称</w:t>
            </w:r>
          </w:p>
        </w:tc>
        <w:tc>
          <w:tcPr>
            <w:tcW w:w="2886"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与1+X证书对应关系</w:t>
            </w:r>
          </w:p>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（部分融合/完全对应）</w:t>
            </w:r>
          </w:p>
        </w:tc>
        <w:tc>
          <w:tcPr>
            <w:tcW w:w="4111"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与1+X证书主要融合点</w:t>
            </w:r>
          </w:p>
        </w:tc>
        <w:tc>
          <w:tcPr>
            <w:tcW w:w="1134"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学时</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992" w:type="dxa"/>
            <w:vMerge w:val="restart"/>
            <w:tcBorders>
              <w:top w:val="single" w:color="000000" w:sz="8" w:space="0"/>
              <w:left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中职阶段</w:t>
            </w:r>
          </w:p>
        </w:tc>
        <w:tc>
          <w:tcPr>
            <w:tcW w:w="2331"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专业核心课</w:t>
            </w:r>
          </w:p>
        </w:tc>
        <w:tc>
          <w:tcPr>
            <w:tcW w:w="230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886"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4111"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134"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992" w:type="dxa"/>
            <w:vMerge w:val="continue"/>
            <w:tcBorders>
              <w:left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331"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30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886"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4111"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134"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992" w:type="dxa"/>
            <w:vMerge w:val="continue"/>
            <w:tcBorders>
              <w:left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331"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专业（技能）方向课</w:t>
            </w:r>
          </w:p>
        </w:tc>
        <w:tc>
          <w:tcPr>
            <w:tcW w:w="230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886"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4111"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134"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992" w:type="dxa"/>
            <w:vMerge w:val="continue"/>
            <w:tcBorders>
              <w:left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331"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30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886"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4111"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134"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992" w:type="dxa"/>
            <w:vMerge w:val="continue"/>
            <w:tcBorders>
              <w:left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331"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专业拓展课</w:t>
            </w:r>
          </w:p>
        </w:tc>
        <w:tc>
          <w:tcPr>
            <w:tcW w:w="230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886"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4111"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134"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992" w:type="dxa"/>
            <w:vMerge w:val="continue"/>
            <w:tcBorders>
              <w:left w:val="single" w:color="000000" w:sz="8" w:space="0"/>
              <w:bottom w:val="single" w:color="auto"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331" w:type="dxa"/>
            <w:vMerge w:val="continue"/>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30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886"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4111"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134"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99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高职阶段</w:t>
            </w:r>
          </w:p>
        </w:tc>
        <w:tc>
          <w:tcPr>
            <w:tcW w:w="233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专业基础课</w:t>
            </w:r>
          </w:p>
        </w:tc>
        <w:tc>
          <w:tcPr>
            <w:tcW w:w="2304" w:type="dxa"/>
            <w:tcBorders>
              <w:top w:val="single" w:color="000000" w:sz="8" w:space="0"/>
              <w:left w:val="single" w:color="auto"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886"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4111"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134"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992" w:type="dxa"/>
            <w:vMerge w:val="continue"/>
            <w:tcBorders>
              <w:top w:val="single" w:color="auto" w:sz="4" w:space="0"/>
              <w:left w:val="single" w:color="auto" w:sz="4" w:space="0"/>
              <w:bottom w:val="single" w:color="auto"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331" w:type="dxa"/>
            <w:vMerge w:val="continue"/>
            <w:tcBorders>
              <w:top w:val="single" w:color="auto" w:sz="4" w:space="0"/>
              <w:left w:val="single" w:color="000000" w:sz="8" w:space="0"/>
              <w:bottom w:val="single" w:color="auto" w:sz="4" w:space="0"/>
              <w:right w:val="single" w:color="auto"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304" w:type="dxa"/>
            <w:tcBorders>
              <w:top w:val="single" w:color="000000" w:sz="8" w:space="0"/>
              <w:left w:val="single" w:color="auto"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886"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4111"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134"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992" w:type="dxa"/>
            <w:vMerge w:val="continue"/>
            <w:tcBorders>
              <w:top w:val="single" w:color="auto" w:sz="4" w:space="0"/>
              <w:left w:val="single" w:color="auto" w:sz="4" w:space="0"/>
              <w:bottom w:val="single" w:color="auto"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331" w:type="dxa"/>
            <w:vMerge w:val="restart"/>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专业核心课</w:t>
            </w:r>
          </w:p>
        </w:tc>
        <w:tc>
          <w:tcPr>
            <w:tcW w:w="230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886"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4111"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134"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992" w:type="dxa"/>
            <w:vMerge w:val="continue"/>
            <w:tcBorders>
              <w:top w:val="single" w:color="auto" w:sz="4" w:space="0"/>
              <w:left w:val="single" w:color="auto" w:sz="4" w:space="0"/>
              <w:bottom w:val="single" w:color="auto"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331" w:type="dxa"/>
            <w:vMerge w:val="continue"/>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30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886"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4111"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134"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992" w:type="dxa"/>
            <w:vMerge w:val="continue"/>
            <w:tcBorders>
              <w:top w:val="single" w:color="auto" w:sz="4" w:space="0"/>
              <w:left w:val="single" w:color="auto" w:sz="4" w:space="0"/>
              <w:bottom w:val="single" w:color="auto"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331" w:type="dxa"/>
            <w:vMerge w:val="restart"/>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专业拓展课</w:t>
            </w:r>
          </w:p>
        </w:tc>
        <w:tc>
          <w:tcPr>
            <w:tcW w:w="230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886"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4111"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134"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992" w:type="dxa"/>
            <w:vMerge w:val="continue"/>
            <w:tcBorders>
              <w:top w:val="single" w:color="auto" w:sz="4" w:space="0"/>
              <w:left w:val="single" w:color="auto" w:sz="4" w:space="0"/>
              <w:bottom w:val="single" w:color="auto"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331" w:type="dxa"/>
            <w:vMerge w:val="continue"/>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30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886"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4111"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134"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r>
    </w:tbl>
    <w:p>
      <w:pPr>
        <w:widowControl/>
        <w:snapToGrid w:val="0"/>
        <w:ind w:firstLine="0"/>
        <w:jc w:val="left"/>
        <w:rPr>
          <w:color w:val="000000"/>
        </w:rPr>
        <w:sectPr>
          <w:pgSz w:w="16838" w:h="11906" w:orient="landscape"/>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p>
      <w:pPr>
        <w:widowControl/>
        <w:snapToGrid w:val="0"/>
        <w:ind w:firstLine="0"/>
        <w:jc w:val="left"/>
        <w:rPr>
          <w:rFonts w:ascii="仿宋" w:hAnsi="仿宋" w:eastAsia="仿宋"/>
          <w:b/>
          <w:color w:val="000000"/>
          <w:sz w:val="28"/>
        </w:rPr>
      </w:pPr>
      <w:r>
        <w:rPr>
          <w:rFonts w:hint="eastAsia" w:ascii="仿宋" w:hAnsi="仿宋" w:eastAsia="仿宋"/>
          <w:b/>
          <w:color w:val="000000"/>
          <w:sz w:val="28"/>
        </w:rPr>
        <w:t>五、教学进程安排与说明</w:t>
      </w:r>
    </w:p>
    <w:p>
      <w:pPr>
        <w:widowControl/>
        <w:snapToGrid w:val="0"/>
        <w:ind w:left="482" w:firstLine="482"/>
        <w:jc w:val="left"/>
        <w:rPr>
          <w:rFonts w:ascii="仿宋" w:hAnsi="仿宋" w:eastAsia="仿宋"/>
          <w:b/>
          <w:color w:val="000000"/>
          <w:sz w:val="24"/>
        </w:rPr>
      </w:pPr>
      <w:r>
        <w:rPr>
          <w:rFonts w:hint="eastAsia" w:ascii="仿宋" w:hAnsi="仿宋" w:eastAsia="仿宋"/>
          <w:b/>
          <w:color w:val="000000"/>
          <w:sz w:val="24"/>
        </w:rPr>
        <w:t>㈠课程学时结构</w:t>
      </w: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单位：学时</w:t>
      </w:r>
    </w:p>
    <w:p>
      <w:pPr>
        <w:widowControl/>
        <w:snapToGrid w:val="0"/>
        <w:jc w:val="left"/>
        <w:rPr>
          <w:rFonts w:ascii="仿宋" w:hAnsi="仿宋" w:eastAsia="仿宋"/>
          <w:color w:val="000000"/>
          <w:sz w:val="24"/>
        </w:rPr>
      </w:pPr>
      <w:r>
        <w:rPr>
          <w:rFonts w:hint="eastAsia" w:ascii="仿宋" w:hAnsi="仿宋" w:eastAsia="仿宋"/>
          <w:b/>
          <w:color w:val="000000"/>
          <w:sz w:val="24"/>
        </w:rPr>
        <w:t>中职阶段课程学时结构</w:t>
      </w:r>
    </w:p>
    <w:tbl>
      <w:tblPr>
        <w:tblStyle w:val="9"/>
        <w:tblW w:w="0" w:type="auto"/>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802"/>
        <w:gridCol w:w="1654"/>
        <w:gridCol w:w="749"/>
        <w:gridCol w:w="1223"/>
        <w:gridCol w:w="1216"/>
        <w:gridCol w:w="819"/>
        <w:gridCol w:w="819"/>
        <w:gridCol w:w="1372"/>
      </w:tblGrid>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18" w:hRule="atLeast"/>
          <w:jc w:val="center"/>
        </w:trPr>
        <w:tc>
          <w:tcPr>
            <w:tcW w:w="802"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课程属性</w:t>
            </w:r>
          </w:p>
        </w:tc>
        <w:tc>
          <w:tcPr>
            <w:tcW w:w="1654"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课程类型</w:t>
            </w:r>
          </w:p>
        </w:tc>
        <w:tc>
          <w:tcPr>
            <w:tcW w:w="749" w:type="dxa"/>
            <w:vMerge w:val="restart"/>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理论教学</w:t>
            </w:r>
          </w:p>
        </w:tc>
        <w:tc>
          <w:tcPr>
            <w:tcW w:w="2439" w:type="dxa"/>
            <w:gridSpan w:val="2"/>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理实一体化教学</w:t>
            </w:r>
          </w:p>
        </w:tc>
        <w:tc>
          <w:tcPr>
            <w:tcW w:w="819"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实践教学</w:t>
            </w:r>
          </w:p>
        </w:tc>
        <w:tc>
          <w:tcPr>
            <w:tcW w:w="819"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合计</w:t>
            </w:r>
          </w:p>
        </w:tc>
        <w:tc>
          <w:tcPr>
            <w:tcW w:w="1372"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占总学时比例（%）</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437"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p>
        </w:tc>
        <w:tc>
          <w:tcPr>
            <w:tcW w:w="1654"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p>
        </w:tc>
        <w:tc>
          <w:tcPr>
            <w:tcW w:w="749" w:type="dxa"/>
            <w:vMerge w:val="continue"/>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p>
        </w:tc>
        <w:tc>
          <w:tcPr>
            <w:tcW w:w="1223"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理论教学</w:t>
            </w:r>
          </w:p>
        </w:tc>
        <w:tc>
          <w:tcPr>
            <w:tcW w:w="1216" w:type="dxa"/>
            <w:tcBorders>
              <w:top w:val="single" w:color="000000" w:sz="4"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实践教学</w:t>
            </w:r>
          </w:p>
        </w:tc>
        <w:tc>
          <w:tcPr>
            <w:tcW w:w="819"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p>
        </w:tc>
        <w:tc>
          <w:tcPr>
            <w:tcW w:w="819"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p>
        </w:tc>
        <w:tc>
          <w:tcPr>
            <w:tcW w:w="1372"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00" w:hRule="atLeast"/>
          <w:jc w:val="center"/>
        </w:trPr>
        <w:tc>
          <w:tcPr>
            <w:tcW w:w="802"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必修</w:t>
            </w:r>
          </w:p>
        </w:tc>
        <w:tc>
          <w:tcPr>
            <w:tcW w:w="1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思想政治课程</w:t>
            </w:r>
          </w:p>
        </w:tc>
        <w:tc>
          <w:tcPr>
            <w:tcW w:w="74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rFonts w:hint="eastAsia" w:ascii="宋体" w:hAnsi="宋体" w:eastAsia="宋体" w:cs="宋体"/>
                <w:bCs/>
                <w:color w:val="000000" w:themeColor="text1"/>
                <w:sz w:val="21"/>
                <w:szCs w:val="21"/>
              </w:rPr>
            </w:pPr>
            <w:r>
              <w:rPr>
                <w:rFonts w:hint="eastAsia" w:ascii="宋体" w:hAnsi="宋体" w:eastAsia="宋体" w:cs="宋体"/>
                <w:bCs/>
                <w:color w:val="FF0000"/>
                <w:sz w:val="21"/>
                <w:szCs w:val="21"/>
              </w:rPr>
              <w:t>1</w:t>
            </w:r>
          </w:p>
        </w:tc>
        <w:tc>
          <w:tcPr>
            <w:tcW w:w="1223"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0</w:t>
            </w:r>
          </w:p>
        </w:tc>
        <w:tc>
          <w:tcPr>
            <w:tcW w:w="1216"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jc w:val="cente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0</w:t>
            </w:r>
          </w:p>
        </w:tc>
        <w:tc>
          <w:tcPr>
            <w:tcW w:w="8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rPr>
                <w:rFonts w:hint="eastAsia" w:ascii="宋体" w:hAnsi="宋体" w:eastAsia="宋体" w:cs="宋体"/>
                <w:bCs/>
                <w:color w:val="000000" w:themeColor="text1"/>
                <w:sz w:val="21"/>
                <w:szCs w:val="21"/>
              </w:rPr>
            </w:pPr>
            <w:r>
              <w:rPr>
                <w:rFonts w:hint="eastAsia" w:ascii="宋体" w:hAnsi="宋体" w:eastAsia="宋体" w:cs="宋体"/>
                <w:bCs/>
                <w:color w:val="FF0000"/>
                <w:sz w:val="21"/>
                <w:szCs w:val="21"/>
              </w:rPr>
              <w:t>1</w:t>
            </w:r>
          </w:p>
        </w:tc>
        <w:tc>
          <w:tcPr>
            <w:tcW w:w="8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rFonts w:hint="eastAsia" w:ascii="宋体" w:hAnsi="宋体" w:eastAsia="宋体" w:cs="宋体"/>
                <w:bCs/>
                <w:color w:val="000000" w:themeColor="text1"/>
                <w:sz w:val="21"/>
                <w:szCs w:val="21"/>
              </w:rPr>
            </w:pPr>
            <w:r>
              <w:rPr>
                <w:rFonts w:hint="eastAsia" w:ascii="宋体" w:hAnsi="宋体" w:eastAsia="宋体" w:cs="宋体"/>
                <w:bCs/>
                <w:color w:val="FF0000"/>
                <w:sz w:val="21"/>
                <w:szCs w:val="21"/>
              </w:rPr>
              <w:t>1</w:t>
            </w:r>
          </w:p>
        </w:tc>
        <w:tc>
          <w:tcPr>
            <w:tcW w:w="137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0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654" w:type="dxa"/>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专业核心课程</w:t>
            </w:r>
          </w:p>
        </w:tc>
        <w:tc>
          <w:tcPr>
            <w:tcW w:w="74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223"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216"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37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0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654" w:type="dxa"/>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专业（技能）方向课程</w:t>
            </w:r>
          </w:p>
        </w:tc>
        <w:tc>
          <w:tcPr>
            <w:tcW w:w="74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223"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216"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37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71"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综合实训课程（含中期顶岗实习）</w:t>
            </w:r>
          </w:p>
        </w:tc>
        <w:tc>
          <w:tcPr>
            <w:tcW w:w="749" w:type="dxa"/>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223" w:type="dxa"/>
            <w:tcBorders>
              <w:top w:val="single" w:color="000000" w:sz="8"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216" w:type="dxa"/>
            <w:tcBorders>
              <w:top w:val="single" w:color="000000" w:sz="8"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372" w:type="dxa"/>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6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654" w:type="dxa"/>
            <w:vMerge w:val="restart"/>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通识与职业基本素养课程</w:t>
            </w:r>
          </w:p>
        </w:tc>
        <w:tc>
          <w:tcPr>
            <w:tcW w:w="749" w:type="dxa"/>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223" w:type="dxa"/>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216" w:type="dxa"/>
            <w:tcBorders>
              <w:top w:val="single" w:color="000000" w:sz="4"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372" w:type="dxa"/>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802"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选修</w:t>
            </w:r>
          </w:p>
        </w:tc>
        <w:tc>
          <w:tcPr>
            <w:tcW w:w="1654" w:type="dxa"/>
            <w:vMerge w:val="continue"/>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749" w:type="dxa"/>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223" w:type="dxa"/>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216" w:type="dxa"/>
            <w:tcBorders>
              <w:top w:val="single" w:color="000000" w:sz="4"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372" w:type="dxa"/>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0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专业选修课程</w:t>
            </w:r>
          </w:p>
        </w:tc>
        <w:tc>
          <w:tcPr>
            <w:tcW w:w="74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223"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216"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37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00" w:hRule="atLeast"/>
          <w:jc w:val="center"/>
        </w:trPr>
        <w:tc>
          <w:tcPr>
            <w:tcW w:w="2456"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合计</w:t>
            </w:r>
          </w:p>
        </w:tc>
        <w:tc>
          <w:tcPr>
            <w:tcW w:w="1972" w:type="dxa"/>
            <w:gridSpan w:val="2"/>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2035" w:type="dxa"/>
            <w:gridSpan w:val="2"/>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37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00" w:hRule="atLeast"/>
          <w:jc w:val="center"/>
        </w:trPr>
        <w:tc>
          <w:tcPr>
            <w:tcW w:w="2456"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占总学时比例（%）</w:t>
            </w:r>
          </w:p>
        </w:tc>
        <w:tc>
          <w:tcPr>
            <w:tcW w:w="1972" w:type="dxa"/>
            <w:gridSpan w:val="2"/>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2035" w:type="dxa"/>
            <w:gridSpan w:val="2"/>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37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r>
    </w:tbl>
    <w:p>
      <w:pPr>
        <w:widowControl/>
        <w:snapToGrid w:val="0"/>
        <w:ind w:firstLine="0"/>
        <w:jc w:val="left"/>
        <w:rPr>
          <w:rFonts w:ascii="仿宋" w:hAnsi="仿宋" w:eastAsia="仿宋"/>
          <w:color w:val="000000"/>
          <w:sz w:val="24"/>
        </w:rPr>
      </w:pPr>
    </w:p>
    <w:p>
      <w:pPr>
        <w:widowControl/>
        <w:snapToGrid w:val="0"/>
        <w:ind w:left="480" w:firstLine="480"/>
        <w:jc w:val="left"/>
        <w:rPr>
          <w:rFonts w:ascii="仿宋" w:hAnsi="仿宋" w:eastAsia="仿宋"/>
          <w:color w:val="000000"/>
          <w:sz w:val="24"/>
        </w:rPr>
      </w:pPr>
    </w:p>
    <w:p>
      <w:pPr>
        <w:widowControl/>
        <w:snapToGrid w:val="0"/>
        <w:jc w:val="left"/>
        <w:rPr>
          <w:rFonts w:ascii="仿宋" w:hAnsi="仿宋" w:eastAsia="仿宋"/>
          <w:color w:val="000000"/>
          <w:sz w:val="24"/>
        </w:rPr>
      </w:pPr>
      <w:r>
        <w:rPr>
          <w:rFonts w:hint="eastAsia" w:ascii="仿宋" w:hAnsi="仿宋" w:eastAsia="仿宋"/>
          <w:b/>
          <w:color w:val="000000"/>
          <w:sz w:val="24"/>
        </w:rPr>
        <w:t>高职阶段课程学时结构</w:t>
      </w:r>
    </w:p>
    <w:tbl>
      <w:tblPr>
        <w:tblStyle w:val="9"/>
        <w:tblW w:w="0" w:type="auto"/>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802"/>
        <w:gridCol w:w="1654"/>
        <w:gridCol w:w="749"/>
        <w:gridCol w:w="1223"/>
        <w:gridCol w:w="1216"/>
        <w:gridCol w:w="819"/>
        <w:gridCol w:w="819"/>
        <w:gridCol w:w="1372"/>
      </w:tblGrid>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18" w:hRule="atLeast"/>
          <w:jc w:val="center"/>
        </w:trPr>
        <w:tc>
          <w:tcPr>
            <w:tcW w:w="802"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课程属性</w:t>
            </w:r>
          </w:p>
        </w:tc>
        <w:tc>
          <w:tcPr>
            <w:tcW w:w="1654"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课程类型</w:t>
            </w:r>
          </w:p>
        </w:tc>
        <w:tc>
          <w:tcPr>
            <w:tcW w:w="749" w:type="dxa"/>
            <w:vMerge w:val="restart"/>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理论教学</w:t>
            </w:r>
          </w:p>
        </w:tc>
        <w:tc>
          <w:tcPr>
            <w:tcW w:w="2439" w:type="dxa"/>
            <w:gridSpan w:val="2"/>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理实一体化教学</w:t>
            </w:r>
          </w:p>
        </w:tc>
        <w:tc>
          <w:tcPr>
            <w:tcW w:w="819"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实践教学</w:t>
            </w:r>
          </w:p>
        </w:tc>
        <w:tc>
          <w:tcPr>
            <w:tcW w:w="819"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合计</w:t>
            </w:r>
          </w:p>
        </w:tc>
        <w:tc>
          <w:tcPr>
            <w:tcW w:w="1372"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占总学时比例（%）</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437"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p>
        </w:tc>
        <w:tc>
          <w:tcPr>
            <w:tcW w:w="1654"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p>
        </w:tc>
        <w:tc>
          <w:tcPr>
            <w:tcW w:w="749" w:type="dxa"/>
            <w:vMerge w:val="continue"/>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p>
        </w:tc>
        <w:tc>
          <w:tcPr>
            <w:tcW w:w="1223"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理论教学</w:t>
            </w:r>
          </w:p>
        </w:tc>
        <w:tc>
          <w:tcPr>
            <w:tcW w:w="1216" w:type="dxa"/>
            <w:tcBorders>
              <w:top w:val="single" w:color="000000" w:sz="4"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实践教学</w:t>
            </w:r>
          </w:p>
        </w:tc>
        <w:tc>
          <w:tcPr>
            <w:tcW w:w="819"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p>
        </w:tc>
        <w:tc>
          <w:tcPr>
            <w:tcW w:w="819"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p>
        </w:tc>
        <w:tc>
          <w:tcPr>
            <w:tcW w:w="1372"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spacing w:before="120" w:after="120"/>
              <w:ind w:firstLine="0"/>
              <w:jc w:val="center"/>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00" w:hRule="atLeast"/>
          <w:jc w:val="center"/>
        </w:trPr>
        <w:tc>
          <w:tcPr>
            <w:tcW w:w="802"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必修</w:t>
            </w:r>
          </w:p>
        </w:tc>
        <w:tc>
          <w:tcPr>
            <w:tcW w:w="1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思想政治课程</w:t>
            </w:r>
          </w:p>
        </w:tc>
        <w:tc>
          <w:tcPr>
            <w:tcW w:w="74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144</w:t>
            </w:r>
          </w:p>
        </w:tc>
        <w:tc>
          <w:tcPr>
            <w:tcW w:w="1223"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0</w:t>
            </w:r>
          </w:p>
        </w:tc>
        <w:tc>
          <w:tcPr>
            <w:tcW w:w="1216"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0</w:t>
            </w:r>
          </w:p>
        </w:tc>
        <w:tc>
          <w:tcPr>
            <w:tcW w:w="8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1</w:t>
            </w:r>
            <w:r>
              <w:rPr>
                <w:rFonts w:hint="eastAsia" w:ascii="宋体" w:hAnsi="宋体" w:eastAsia="宋体" w:cs="宋体"/>
                <w:color w:val="000000" w:themeColor="text1"/>
                <w:sz w:val="21"/>
                <w:szCs w:val="21"/>
                <w:lang w:val="en-US" w:eastAsia="zh-CN"/>
              </w:rPr>
              <w:t>6</w:t>
            </w:r>
          </w:p>
        </w:tc>
        <w:tc>
          <w:tcPr>
            <w:tcW w:w="8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160</w:t>
            </w:r>
          </w:p>
        </w:tc>
        <w:tc>
          <w:tcPr>
            <w:tcW w:w="137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0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654" w:type="dxa"/>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专业基础课程</w:t>
            </w:r>
          </w:p>
        </w:tc>
        <w:tc>
          <w:tcPr>
            <w:tcW w:w="74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223"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216"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37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0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654" w:type="dxa"/>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专业核心课程</w:t>
            </w:r>
          </w:p>
        </w:tc>
        <w:tc>
          <w:tcPr>
            <w:tcW w:w="74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223"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216"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37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71"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独立设置实习实训课程</w:t>
            </w:r>
          </w:p>
          <w:p>
            <w:pPr>
              <w:snapToGrid w:val="0"/>
              <w:ind w:firstLine="0"/>
              <w:jc w:val="center"/>
              <w:rPr>
                <w:rFonts w:hint="eastAsia" w:ascii="宋体" w:hAnsi="宋体" w:eastAsia="宋体" w:cs="宋体"/>
                <w:b/>
                <w:color w:val="000000"/>
                <w:sz w:val="21"/>
                <w:szCs w:val="21"/>
              </w:rPr>
            </w:pPr>
          </w:p>
        </w:tc>
        <w:tc>
          <w:tcPr>
            <w:tcW w:w="749" w:type="dxa"/>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223" w:type="dxa"/>
            <w:tcBorders>
              <w:top w:val="single" w:color="000000" w:sz="8"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216" w:type="dxa"/>
            <w:tcBorders>
              <w:top w:val="single" w:color="000000" w:sz="8"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372" w:type="dxa"/>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6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654" w:type="dxa"/>
            <w:vMerge w:val="restart"/>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通识与职业基本素养课程</w:t>
            </w:r>
          </w:p>
        </w:tc>
        <w:tc>
          <w:tcPr>
            <w:tcW w:w="749" w:type="dxa"/>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2</w:t>
            </w:r>
            <w:r>
              <w:rPr>
                <w:rFonts w:hint="eastAsia" w:eastAsia="宋体" w:cs="宋体"/>
                <w:color w:val="000000"/>
                <w:sz w:val="21"/>
                <w:szCs w:val="21"/>
                <w:lang w:val="en-US" w:eastAsia="zh-CN"/>
              </w:rPr>
              <w:t>28</w:t>
            </w:r>
          </w:p>
        </w:tc>
        <w:tc>
          <w:tcPr>
            <w:tcW w:w="1223" w:type="dxa"/>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1216" w:type="dxa"/>
            <w:tcBorders>
              <w:top w:val="single" w:color="000000" w:sz="4"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82</w:t>
            </w:r>
          </w:p>
        </w:tc>
        <w:tc>
          <w:tcPr>
            <w:tcW w:w="819" w:type="dxa"/>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default" w:ascii="宋体" w:hAnsi="宋体" w:eastAsia="宋体" w:cs="宋体"/>
                <w:color w:val="000000"/>
                <w:sz w:val="21"/>
                <w:szCs w:val="21"/>
                <w:lang w:val="en-US" w:eastAsia="zh-CN"/>
              </w:rPr>
            </w:pPr>
            <w:r>
              <w:rPr>
                <w:rFonts w:hint="eastAsia" w:eastAsia="宋体" w:cs="宋体"/>
                <w:color w:val="000000"/>
                <w:sz w:val="21"/>
                <w:szCs w:val="21"/>
                <w:lang w:val="en-US" w:eastAsia="zh-CN"/>
              </w:rPr>
              <w:t>32</w:t>
            </w:r>
          </w:p>
        </w:tc>
        <w:tc>
          <w:tcPr>
            <w:tcW w:w="819" w:type="dxa"/>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3</w:t>
            </w:r>
            <w:r>
              <w:rPr>
                <w:rFonts w:hint="eastAsia" w:eastAsia="宋体" w:cs="宋体"/>
                <w:color w:val="000000"/>
                <w:sz w:val="21"/>
                <w:szCs w:val="21"/>
                <w:lang w:val="en-US" w:eastAsia="zh-CN"/>
              </w:rPr>
              <w:t>60</w:t>
            </w:r>
          </w:p>
        </w:tc>
        <w:tc>
          <w:tcPr>
            <w:tcW w:w="1372" w:type="dxa"/>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85" w:hRule="atLeast"/>
          <w:jc w:val="center"/>
        </w:trPr>
        <w:tc>
          <w:tcPr>
            <w:tcW w:w="802"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选修</w:t>
            </w:r>
          </w:p>
        </w:tc>
        <w:tc>
          <w:tcPr>
            <w:tcW w:w="1654" w:type="dxa"/>
            <w:vMerge w:val="continue"/>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749" w:type="dxa"/>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w:t>
            </w:r>
          </w:p>
        </w:tc>
        <w:tc>
          <w:tcPr>
            <w:tcW w:w="1223" w:type="dxa"/>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1216" w:type="dxa"/>
            <w:tcBorders>
              <w:top w:val="single" w:color="000000" w:sz="4"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819" w:type="dxa"/>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819" w:type="dxa"/>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w:t>
            </w:r>
          </w:p>
        </w:tc>
        <w:tc>
          <w:tcPr>
            <w:tcW w:w="1372" w:type="dxa"/>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0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专业选修课程</w:t>
            </w:r>
          </w:p>
        </w:tc>
        <w:tc>
          <w:tcPr>
            <w:tcW w:w="74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223"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216" w:type="dxa"/>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37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00" w:hRule="atLeast"/>
          <w:jc w:val="center"/>
        </w:trPr>
        <w:tc>
          <w:tcPr>
            <w:tcW w:w="2456"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合计</w:t>
            </w:r>
          </w:p>
        </w:tc>
        <w:tc>
          <w:tcPr>
            <w:tcW w:w="1972" w:type="dxa"/>
            <w:gridSpan w:val="2"/>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2035" w:type="dxa"/>
            <w:gridSpan w:val="2"/>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37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00" w:hRule="atLeast"/>
          <w:jc w:val="center"/>
        </w:trPr>
        <w:tc>
          <w:tcPr>
            <w:tcW w:w="2456"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占总学时比例（%）</w:t>
            </w:r>
          </w:p>
        </w:tc>
        <w:tc>
          <w:tcPr>
            <w:tcW w:w="1972" w:type="dxa"/>
            <w:gridSpan w:val="2"/>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2035" w:type="dxa"/>
            <w:gridSpan w:val="2"/>
            <w:tcBorders>
              <w:top w:val="single" w:color="000000" w:sz="8"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8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37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r>
    </w:tbl>
    <w:p>
      <w:pPr>
        <w:widowControl/>
        <w:snapToGrid w:val="0"/>
        <w:ind w:left="420" w:firstLine="420"/>
        <w:jc w:val="left"/>
        <w:rPr>
          <w:rFonts w:ascii="仿宋" w:hAnsi="仿宋" w:eastAsia="仿宋"/>
          <w:color w:val="000000"/>
          <w:sz w:val="21"/>
        </w:rPr>
      </w:pPr>
    </w:p>
    <w:p>
      <w:pPr>
        <w:widowControl/>
        <w:snapToGrid w:val="0"/>
        <w:ind w:left="420" w:firstLine="420"/>
        <w:jc w:val="left"/>
        <w:rPr>
          <w:rFonts w:ascii="仿宋" w:hAnsi="仿宋" w:eastAsia="仿宋"/>
          <w:color w:val="000000"/>
          <w:sz w:val="21"/>
        </w:rPr>
      </w:pPr>
      <w:r>
        <w:rPr>
          <w:rFonts w:ascii="仿宋" w:hAnsi="仿宋" w:eastAsia="仿宋"/>
          <w:color w:val="000000"/>
          <w:sz w:val="21"/>
        </w:rPr>
        <w:t>1</w:t>
      </w:r>
      <w:r>
        <w:rPr>
          <w:rFonts w:hint="eastAsia" w:ascii="仿宋" w:hAnsi="仿宋" w:eastAsia="仿宋"/>
          <w:color w:val="000000"/>
          <w:sz w:val="21"/>
        </w:rPr>
        <w:t>、理实一体化课程中，理论学时与实践学时的统计可采取估算；</w:t>
      </w:r>
    </w:p>
    <w:p>
      <w:pPr>
        <w:widowControl/>
        <w:snapToGrid w:val="0"/>
        <w:ind w:left="420" w:firstLine="420"/>
        <w:jc w:val="left"/>
        <w:rPr>
          <w:rFonts w:ascii="仿宋" w:hAnsi="仿宋" w:eastAsia="仿宋"/>
          <w:color w:val="000000"/>
          <w:sz w:val="21"/>
        </w:rPr>
      </w:pPr>
      <w:r>
        <w:rPr>
          <w:rFonts w:ascii="仿宋" w:hAnsi="仿宋" w:eastAsia="仿宋"/>
          <w:color w:val="000000"/>
          <w:sz w:val="21"/>
        </w:rPr>
        <w:t>2</w:t>
      </w:r>
      <w:r>
        <w:rPr>
          <w:rFonts w:hint="eastAsia" w:ascii="仿宋" w:hAnsi="仿宋" w:eastAsia="仿宋"/>
          <w:color w:val="000000"/>
          <w:sz w:val="21"/>
        </w:rPr>
        <w:t>、专门实训教学是指课程中设定独立环节实施实训教学的学时数.</w:t>
      </w:r>
    </w:p>
    <w:p>
      <w:pPr>
        <w:widowControl/>
        <w:snapToGrid w:val="0"/>
        <w:ind w:left="482" w:firstLine="482"/>
        <w:jc w:val="left"/>
        <w:rPr>
          <w:rFonts w:ascii="仿宋" w:hAnsi="仿宋" w:eastAsia="仿宋"/>
          <w:b/>
          <w:color w:val="000000"/>
          <w:sz w:val="24"/>
        </w:rPr>
      </w:pPr>
      <w:r>
        <w:rPr>
          <w:rFonts w:hint="eastAsia" w:ascii="仿宋" w:hAnsi="仿宋" w:eastAsia="仿宋"/>
          <w:b/>
          <w:color w:val="000000"/>
          <w:sz w:val="24"/>
        </w:rPr>
        <w:t>㈡周教学时间分配表</w:t>
      </w:r>
    </w:p>
    <w:p>
      <w:pPr>
        <w:widowControl/>
        <w:snapToGrid w:val="0"/>
        <w:ind w:left="361" w:firstLine="361"/>
        <w:jc w:val="left"/>
        <w:rPr>
          <w:rFonts w:ascii="仿宋" w:hAnsi="仿宋" w:eastAsia="仿宋"/>
          <w:b/>
          <w:color w:val="000000"/>
          <w:sz w:val="18"/>
        </w:rPr>
      </w:pPr>
      <w:r>
        <w:rPr>
          <w:rFonts w:hint="eastAsia" w:ascii="仿宋" w:hAnsi="仿宋" w:eastAsia="仿宋"/>
          <w:b/>
          <w:color w:val="000000"/>
          <w:sz w:val="18"/>
        </w:rPr>
        <w:t>（单位：周）</w:t>
      </w:r>
    </w:p>
    <w:p>
      <w:pPr>
        <w:widowControl/>
        <w:snapToGrid w:val="0"/>
        <w:ind w:left="482" w:firstLine="2262" w:firstLineChars="939"/>
        <w:jc w:val="left"/>
        <w:rPr>
          <w:rFonts w:ascii="仿宋" w:hAnsi="仿宋" w:eastAsia="仿宋"/>
          <w:b/>
          <w:color w:val="000000"/>
          <w:sz w:val="24"/>
        </w:rPr>
      </w:pPr>
    </w:p>
    <w:p>
      <w:pPr>
        <w:widowControl/>
        <w:snapToGrid w:val="0"/>
        <w:ind w:left="482" w:firstLine="2262" w:firstLineChars="939"/>
        <w:jc w:val="left"/>
        <w:rPr>
          <w:rFonts w:ascii="仿宋" w:hAnsi="仿宋" w:eastAsia="仿宋"/>
          <w:b/>
          <w:color w:val="000000"/>
          <w:sz w:val="18"/>
        </w:rPr>
      </w:pPr>
      <w:r>
        <w:rPr>
          <w:rFonts w:hint="eastAsia" w:ascii="仿宋" w:hAnsi="仿宋" w:eastAsia="仿宋"/>
          <w:b/>
          <w:color w:val="000000"/>
          <w:sz w:val="24"/>
        </w:rPr>
        <w:t>中职阶段周教学时间分配表</w:t>
      </w:r>
    </w:p>
    <w:tbl>
      <w:tblPr>
        <w:tblStyle w:val="9"/>
        <w:tblpPr w:vertAnchor="text" w:horzAnchor="margin" w:tblpXSpec="center" w:tblpY="86"/>
        <w:tblW w:w="0" w:type="auto"/>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468"/>
        <w:gridCol w:w="624"/>
        <w:gridCol w:w="1143"/>
        <w:gridCol w:w="1080"/>
        <w:gridCol w:w="1620"/>
        <w:gridCol w:w="702"/>
        <w:gridCol w:w="708"/>
        <w:gridCol w:w="1418"/>
        <w:gridCol w:w="913"/>
      </w:tblGrid>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406" w:hRule="atLeast"/>
          <w:jc w:val="center"/>
        </w:trPr>
        <w:tc>
          <w:tcPr>
            <w:tcW w:w="468" w:type="dxa"/>
            <w:tcBorders>
              <w:top w:val="single" w:color="000000" w:sz="8" w:space="0"/>
              <w:left w:val="single" w:color="000000" w:sz="8" w:space="0"/>
              <w:bottom w:val="single" w:color="000000" w:sz="8" w:space="0"/>
              <w:right w:val="single" w:color="auto"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学</w:t>
            </w:r>
          </w:p>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年</w:t>
            </w:r>
          </w:p>
        </w:tc>
        <w:tc>
          <w:tcPr>
            <w:tcW w:w="6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学</w:t>
            </w:r>
          </w:p>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期</w:t>
            </w:r>
          </w:p>
        </w:tc>
        <w:tc>
          <w:tcPr>
            <w:tcW w:w="11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入学教育与军训</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课程教学</w:t>
            </w:r>
          </w:p>
        </w:tc>
        <w:tc>
          <w:tcPr>
            <w:tcW w:w="1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实训环节</w:t>
            </w:r>
          </w:p>
        </w:tc>
        <w:tc>
          <w:tcPr>
            <w:tcW w:w="7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ind w:right="-48"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毕业教育</w:t>
            </w:r>
          </w:p>
        </w:tc>
        <w:tc>
          <w:tcPr>
            <w:tcW w:w="708" w:type="dxa"/>
            <w:tcBorders>
              <w:top w:val="single" w:color="000000" w:sz="8" w:space="0"/>
              <w:left w:val="single" w:color="auto"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考试</w:t>
            </w:r>
          </w:p>
        </w:tc>
        <w:tc>
          <w:tcPr>
            <w:tcW w:w="141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节假日、运动会及机动</w:t>
            </w:r>
          </w:p>
        </w:tc>
        <w:tc>
          <w:tcPr>
            <w:tcW w:w="9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小计</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406" w:hRule="atLeast"/>
          <w:jc w:val="center"/>
        </w:trPr>
        <w:tc>
          <w:tcPr>
            <w:tcW w:w="468"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一</w:t>
            </w:r>
          </w:p>
        </w:tc>
        <w:tc>
          <w:tcPr>
            <w:tcW w:w="624" w:type="dxa"/>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143" w:type="dxa"/>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080" w:type="dxa"/>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620" w:type="dxa"/>
            <w:tcBorders>
              <w:top w:val="single" w:color="auto" w:sz="4" w:space="0"/>
              <w:left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702" w:type="dxa"/>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right="-48" w:firstLine="0"/>
              <w:jc w:val="center"/>
              <w:rPr>
                <w:rFonts w:hint="eastAsia" w:ascii="宋体" w:hAnsi="宋体" w:eastAsia="宋体" w:cs="宋体"/>
                <w:b/>
                <w:color w:val="000000"/>
                <w:sz w:val="21"/>
                <w:szCs w:val="21"/>
              </w:rPr>
            </w:pPr>
          </w:p>
        </w:tc>
        <w:tc>
          <w:tcPr>
            <w:tcW w:w="7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9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406" w:hRule="atLeast"/>
          <w:jc w:val="center"/>
        </w:trPr>
        <w:tc>
          <w:tcPr>
            <w:tcW w:w="468"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2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1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rPr>
                <w:rFonts w:hint="eastAsia" w:ascii="宋体" w:hAnsi="宋体" w:eastAsia="宋体" w:cs="宋体"/>
                <w:color w:val="000000"/>
                <w:sz w:val="21"/>
                <w:szCs w:val="21"/>
              </w:rPr>
            </w:pPr>
          </w:p>
        </w:tc>
        <w:tc>
          <w:tcPr>
            <w:tcW w:w="108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620" w:type="dxa"/>
            <w:tcBorders>
              <w:top w:val="single" w:color="000000" w:sz="8" w:space="0"/>
              <w:left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right="-48" w:firstLine="0"/>
              <w:jc w:val="center"/>
              <w:rPr>
                <w:rFonts w:hint="eastAsia" w:ascii="宋体" w:hAnsi="宋体" w:eastAsia="宋体" w:cs="宋体"/>
                <w:b/>
                <w:color w:val="000000"/>
                <w:sz w:val="21"/>
                <w:szCs w:val="21"/>
              </w:rPr>
            </w:pPr>
          </w:p>
        </w:tc>
        <w:tc>
          <w:tcPr>
            <w:tcW w:w="7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9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406" w:hRule="atLeast"/>
          <w:jc w:val="center"/>
        </w:trPr>
        <w:tc>
          <w:tcPr>
            <w:tcW w:w="468"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二</w:t>
            </w:r>
          </w:p>
        </w:tc>
        <w:tc>
          <w:tcPr>
            <w:tcW w:w="62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1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080" w:type="dxa"/>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620" w:type="dxa"/>
            <w:tcBorders>
              <w:top w:val="single" w:color="000000" w:sz="8" w:space="0"/>
              <w:left w:val="single" w:color="000000" w:sz="8" w:space="0"/>
              <w:bottom w:val="single" w:color="auto"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702" w:type="dxa"/>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vAlign w:val="center"/>
          </w:tcPr>
          <w:p>
            <w:pPr>
              <w:snapToGrid w:val="0"/>
              <w:ind w:right="-48" w:firstLine="0"/>
              <w:jc w:val="center"/>
              <w:rPr>
                <w:rFonts w:hint="eastAsia" w:ascii="宋体" w:hAnsi="宋体" w:eastAsia="宋体" w:cs="宋体"/>
                <w:b/>
                <w:color w:val="000000"/>
                <w:sz w:val="21"/>
                <w:szCs w:val="21"/>
              </w:rPr>
            </w:pPr>
          </w:p>
        </w:tc>
        <w:tc>
          <w:tcPr>
            <w:tcW w:w="7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9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406" w:hRule="atLeast"/>
          <w:jc w:val="center"/>
        </w:trPr>
        <w:tc>
          <w:tcPr>
            <w:tcW w:w="468"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2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143" w:type="dxa"/>
            <w:tcBorders>
              <w:top w:val="single" w:color="000000" w:sz="8" w:space="0"/>
              <w:left w:val="single" w:color="000000" w:sz="8" w:space="0"/>
              <w:bottom w:val="single" w:color="000000" w:sz="8" w:space="0"/>
              <w:right w:val="single" w:color="auto"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7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ind w:right="-48" w:firstLine="0"/>
              <w:jc w:val="center"/>
              <w:rPr>
                <w:rFonts w:hint="eastAsia" w:ascii="宋体" w:hAnsi="宋体" w:eastAsia="宋体" w:cs="宋体"/>
                <w:b/>
                <w:color w:val="000000"/>
                <w:sz w:val="21"/>
                <w:szCs w:val="21"/>
              </w:rPr>
            </w:pPr>
          </w:p>
        </w:tc>
        <w:tc>
          <w:tcPr>
            <w:tcW w:w="708" w:type="dxa"/>
            <w:tcBorders>
              <w:top w:val="single" w:color="000000" w:sz="8" w:space="0"/>
              <w:left w:val="single" w:color="auto"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9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406" w:hRule="atLeast"/>
          <w:jc w:val="center"/>
        </w:trPr>
        <w:tc>
          <w:tcPr>
            <w:tcW w:w="468"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三</w:t>
            </w:r>
          </w:p>
        </w:tc>
        <w:tc>
          <w:tcPr>
            <w:tcW w:w="62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1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080" w:type="dxa"/>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620" w:type="dxa"/>
            <w:tcBorders>
              <w:top w:val="single" w:color="auto" w:sz="4" w:space="0"/>
              <w:left w:val="single" w:color="000000" w:sz="8" w:space="0"/>
              <w:bottom w:val="single" w:color="auto"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702" w:type="dxa"/>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vAlign w:val="center"/>
          </w:tcPr>
          <w:p>
            <w:pPr>
              <w:snapToGrid w:val="0"/>
              <w:ind w:right="-48" w:firstLine="0"/>
              <w:jc w:val="center"/>
              <w:rPr>
                <w:rFonts w:hint="eastAsia" w:ascii="宋体" w:hAnsi="宋体" w:eastAsia="宋体" w:cs="宋体"/>
                <w:b/>
                <w:color w:val="000000"/>
                <w:sz w:val="21"/>
                <w:szCs w:val="21"/>
              </w:rPr>
            </w:pPr>
          </w:p>
        </w:tc>
        <w:tc>
          <w:tcPr>
            <w:tcW w:w="7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9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406" w:hRule="atLeast"/>
          <w:jc w:val="center"/>
        </w:trPr>
        <w:tc>
          <w:tcPr>
            <w:tcW w:w="468"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2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1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080" w:type="dxa"/>
            <w:tcBorders>
              <w:top w:val="single" w:color="000000" w:sz="8" w:space="0"/>
              <w:left w:val="single" w:color="000000" w:sz="8" w:space="0"/>
              <w:bottom w:val="single" w:color="000000" w:sz="8" w:space="0"/>
              <w:right w:val="single" w:color="auto"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620" w:type="dxa"/>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702" w:type="dxa"/>
            <w:tcBorders>
              <w:top w:val="single" w:color="auto" w:sz="4" w:space="0"/>
              <w:left w:val="single" w:color="000000" w:sz="8" w:space="0"/>
              <w:bottom w:val="single" w:color="auto" w:sz="4" w:space="0"/>
              <w:right w:val="single" w:color="auto" w:sz="4" w:space="0"/>
            </w:tcBorders>
            <w:tcMar>
              <w:top w:w="0" w:type="dxa"/>
              <w:left w:w="108" w:type="dxa"/>
              <w:bottom w:w="0" w:type="dxa"/>
              <w:right w:w="108" w:type="dxa"/>
            </w:tcMar>
            <w:vAlign w:val="center"/>
          </w:tcPr>
          <w:p>
            <w:pPr>
              <w:snapToGrid w:val="0"/>
              <w:ind w:right="-48" w:firstLine="0"/>
              <w:jc w:val="center"/>
              <w:rPr>
                <w:rFonts w:hint="eastAsia" w:ascii="宋体" w:hAnsi="宋体" w:eastAsia="宋体" w:cs="宋体"/>
                <w:b/>
                <w:color w:val="000000"/>
                <w:sz w:val="21"/>
                <w:szCs w:val="21"/>
              </w:rPr>
            </w:pPr>
          </w:p>
        </w:tc>
        <w:tc>
          <w:tcPr>
            <w:tcW w:w="708" w:type="dxa"/>
            <w:tcBorders>
              <w:top w:val="single" w:color="000000" w:sz="8" w:space="0"/>
              <w:left w:val="single" w:color="auto" w:sz="4"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9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r>
    </w:tbl>
    <w:p>
      <w:pPr>
        <w:widowControl/>
        <w:snapToGrid w:val="0"/>
        <w:spacing w:line="400" w:lineRule="exact"/>
        <w:ind w:firstLine="0"/>
        <w:jc w:val="left"/>
        <w:rPr>
          <w:rFonts w:hint="eastAsia" w:eastAsia="宋体" w:cs="宋体"/>
          <w:color w:val="000000"/>
          <w:sz w:val="21"/>
          <w:szCs w:val="21"/>
        </w:rPr>
      </w:pPr>
    </w:p>
    <w:p>
      <w:pPr>
        <w:widowControl/>
        <w:snapToGrid w:val="0"/>
        <w:ind w:left="482" w:firstLine="2262" w:firstLineChars="939"/>
        <w:jc w:val="left"/>
        <w:rPr>
          <w:color w:val="000000"/>
        </w:rPr>
      </w:pPr>
      <w:r>
        <w:rPr>
          <w:rFonts w:hint="eastAsia" w:ascii="仿宋" w:hAnsi="仿宋" w:eastAsia="仿宋"/>
          <w:b/>
          <w:color w:val="000000"/>
          <w:sz w:val="24"/>
        </w:rPr>
        <w:t>高职阶段周教学时间分配表</w:t>
      </w:r>
    </w:p>
    <w:tbl>
      <w:tblPr>
        <w:tblStyle w:val="9"/>
        <w:tblpPr w:vertAnchor="text" w:horzAnchor="margin" w:tblpXSpec="center" w:tblpY="86"/>
        <w:tblW w:w="0" w:type="auto"/>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468"/>
        <w:gridCol w:w="624"/>
        <w:gridCol w:w="1143"/>
        <w:gridCol w:w="1080"/>
        <w:gridCol w:w="1620"/>
        <w:gridCol w:w="702"/>
        <w:gridCol w:w="708"/>
        <w:gridCol w:w="1418"/>
        <w:gridCol w:w="913"/>
      </w:tblGrid>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406" w:hRule="atLeast"/>
          <w:jc w:val="center"/>
        </w:trPr>
        <w:tc>
          <w:tcPr>
            <w:tcW w:w="4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学</w:t>
            </w:r>
          </w:p>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年</w:t>
            </w:r>
          </w:p>
        </w:tc>
        <w:tc>
          <w:tcPr>
            <w:tcW w:w="62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学</w:t>
            </w:r>
          </w:p>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期</w:t>
            </w:r>
          </w:p>
        </w:tc>
        <w:tc>
          <w:tcPr>
            <w:tcW w:w="11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入学教育与军训</w:t>
            </w:r>
          </w:p>
        </w:tc>
        <w:tc>
          <w:tcPr>
            <w:tcW w:w="108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课程教学</w:t>
            </w:r>
          </w:p>
        </w:tc>
        <w:tc>
          <w:tcPr>
            <w:tcW w:w="1620" w:type="dxa"/>
            <w:tcBorders>
              <w:top w:val="single" w:color="000000" w:sz="8" w:space="0"/>
              <w:left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szCs w:val="22"/>
              </w:rPr>
              <w:t>独立设置专周实训环节</w:t>
            </w:r>
          </w:p>
        </w:tc>
        <w:tc>
          <w:tcPr>
            <w:tcW w:w="70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right="-48" w:firstLine="0"/>
              <w:jc w:val="center"/>
              <w:rPr>
                <w:rFonts w:hint="eastAsia" w:ascii="宋体" w:hAnsi="宋体" w:eastAsia="宋体" w:cs="宋体"/>
                <w:b/>
                <w:color w:val="000000"/>
                <w:sz w:val="21"/>
              </w:rPr>
            </w:pPr>
            <w:r>
              <w:rPr>
                <w:rFonts w:hint="eastAsia" w:ascii="宋体" w:hAnsi="宋体" w:eastAsia="宋体" w:cs="宋体"/>
                <w:b/>
                <w:color w:val="000000"/>
                <w:sz w:val="21"/>
              </w:rPr>
              <w:t>毕业教育</w:t>
            </w:r>
          </w:p>
        </w:tc>
        <w:tc>
          <w:tcPr>
            <w:tcW w:w="7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考试</w:t>
            </w:r>
          </w:p>
        </w:tc>
        <w:tc>
          <w:tcPr>
            <w:tcW w:w="141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节假日、运动会及机动</w:t>
            </w:r>
          </w:p>
        </w:tc>
        <w:tc>
          <w:tcPr>
            <w:tcW w:w="9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rPr>
            </w:pPr>
            <w:r>
              <w:rPr>
                <w:rFonts w:hint="eastAsia" w:ascii="宋体" w:hAnsi="宋体" w:eastAsia="宋体" w:cs="宋体"/>
                <w:b/>
                <w:color w:val="000000"/>
                <w:sz w:val="21"/>
              </w:rPr>
              <w:t>小计</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468"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四</w:t>
            </w:r>
          </w:p>
        </w:tc>
        <w:tc>
          <w:tcPr>
            <w:tcW w:w="62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7</w:t>
            </w:r>
          </w:p>
        </w:tc>
        <w:tc>
          <w:tcPr>
            <w:tcW w:w="11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3</w:t>
            </w:r>
          </w:p>
        </w:tc>
        <w:tc>
          <w:tcPr>
            <w:tcW w:w="108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14</w:t>
            </w:r>
          </w:p>
        </w:tc>
        <w:tc>
          <w:tcPr>
            <w:tcW w:w="1620"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0</w:t>
            </w:r>
          </w:p>
        </w:tc>
        <w:tc>
          <w:tcPr>
            <w:tcW w:w="702" w:type="dxa"/>
            <w:tcBorders>
              <w:top w:val="single" w:color="000000" w:sz="8" w:space="0"/>
              <w:left w:val="single" w:color="000000" w:sz="8" w:space="0"/>
              <w:bottom w:val="single" w:color="000000" w:sz="8" w:space="0"/>
              <w:right w:val="single" w:color="000000" w:sz="8" w:space="0"/>
              <w:tr2bl w:val="single" w:color="auto"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p>
        </w:tc>
        <w:tc>
          <w:tcPr>
            <w:tcW w:w="7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1</w:t>
            </w:r>
          </w:p>
        </w:tc>
        <w:tc>
          <w:tcPr>
            <w:tcW w:w="141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1</w:t>
            </w:r>
          </w:p>
        </w:tc>
        <w:tc>
          <w:tcPr>
            <w:tcW w:w="9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19</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192" w:hRule="atLeast"/>
          <w:jc w:val="center"/>
        </w:trPr>
        <w:tc>
          <w:tcPr>
            <w:tcW w:w="468"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p>
        </w:tc>
        <w:tc>
          <w:tcPr>
            <w:tcW w:w="62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8</w:t>
            </w:r>
          </w:p>
        </w:tc>
        <w:tc>
          <w:tcPr>
            <w:tcW w:w="1143" w:type="dxa"/>
            <w:tcBorders>
              <w:top w:val="single" w:color="000000" w:sz="8" w:space="0"/>
              <w:left w:val="single" w:color="000000" w:sz="8" w:space="0"/>
              <w:bottom w:val="single" w:color="000000" w:sz="8" w:space="0"/>
              <w:right w:val="single" w:color="000000" w:sz="8" w:space="0"/>
              <w:tr2bl w:val="single" w:color="auto" w:sz="8" w:space="0"/>
            </w:tcBorders>
            <w:tcMar>
              <w:top w:w="0" w:type="dxa"/>
              <w:left w:w="108" w:type="dxa"/>
              <w:bottom w:w="0" w:type="dxa"/>
              <w:right w:w="108" w:type="dxa"/>
            </w:tcMar>
            <w:vAlign w:val="center"/>
          </w:tcPr>
          <w:p>
            <w:pPr>
              <w:snapToGrid w:val="0"/>
              <w:ind w:firstLine="0"/>
              <w:rPr>
                <w:rFonts w:hint="eastAsia" w:ascii="宋体" w:hAnsi="宋体" w:eastAsia="宋体" w:cs="宋体"/>
                <w:color w:val="000000"/>
                <w:sz w:val="21"/>
              </w:rPr>
            </w:pPr>
          </w:p>
        </w:tc>
        <w:tc>
          <w:tcPr>
            <w:tcW w:w="108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p>
        </w:tc>
        <w:tc>
          <w:tcPr>
            <w:tcW w:w="16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p>
        </w:tc>
        <w:tc>
          <w:tcPr>
            <w:tcW w:w="702" w:type="dxa"/>
            <w:tcBorders>
              <w:top w:val="single" w:color="000000" w:sz="8" w:space="0"/>
              <w:left w:val="single" w:color="000000" w:sz="8" w:space="0"/>
              <w:bottom w:val="single" w:color="000000" w:sz="8" w:space="0"/>
              <w:right w:val="single" w:color="000000" w:sz="8" w:space="0"/>
              <w:tr2bl w:val="single" w:color="auto"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p>
        </w:tc>
        <w:tc>
          <w:tcPr>
            <w:tcW w:w="7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1</w:t>
            </w:r>
          </w:p>
        </w:tc>
        <w:tc>
          <w:tcPr>
            <w:tcW w:w="141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1</w:t>
            </w:r>
          </w:p>
        </w:tc>
        <w:tc>
          <w:tcPr>
            <w:tcW w:w="9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20</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468"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五</w:t>
            </w:r>
          </w:p>
        </w:tc>
        <w:tc>
          <w:tcPr>
            <w:tcW w:w="62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9</w:t>
            </w:r>
          </w:p>
        </w:tc>
        <w:tc>
          <w:tcPr>
            <w:tcW w:w="1143" w:type="dxa"/>
            <w:tcBorders>
              <w:top w:val="single" w:color="000000" w:sz="8" w:space="0"/>
              <w:left w:val="single" w:color="000000" w:sz="8" w:space="0"/>
              <w:bottom w:val="single" w:color="000000" w:sz="8" w:space="0"/>
              <w:right w:val="single" w:color="000000" w:sz="8" w:space="0"/>
              <w:tr2bl w:val="single" w:color="auto"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p>
        </w:tc>
        <w:tc>
          <w:tcPr>
            <w:tcW w:w="108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lang w:val="en-US" w:eastAsia="zh-CN"/>
              </w:rPr>
            </w:pPr>
          </w:p>
        </w:tc>
        <w:tc>
          <w:tcPr>
            <w:tcW w:w="16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lang w:val="en-US" w:eastAsia="zh-CN"/>
              </w:rPr>
            </w:pPr>
          </w:p>
        </w:tc>
        <w:tc>
          <w:tcPr>
            <w:tcW w:w="702" w:type="dxa"/>
            <w:tcBorders>
              <w:top w:val="single" w:color="000000" w:sz="8" w:space="0"/>
              <w:left w:val="single" w:color="000000" w:sz="8" w:space="0"/>
              <w:bottom w:val="single" w:color="000000" w:sz="8" w:space="0"/>
              <w:right w:val="single" w:color="000000" w:sz="8" w:space="0"/>
              <w:tr2bl w:val="single" w:color="auto"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p>
        </w:tc>
        <w:tc>
          <w:tcPr>
            <w:tcW w:w="7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1</w:t>
            </w:r>
          </w:p>
        </w:tc>
        <w:tc>
          <w:tcPr>
            <w:tcW w:w="1418" w:type="dxa"/>
            <w:tcBorders>
              <w:top w:val="single" w:color="000000" w:sz="8" w:space="0"/>
              <w:left w:val="single" w:color="000000" w:sz="8" w:space="0"/>
              <w:bottom w:val="single" w:color="000000" w:sz="8" w:space="0"/>
              <w:right w:val="single" w:color="000000" w:sz="8" w:space="0"/>
              <w:tr2bl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p>
        </w:tc>
        <w:tc>
          <w:tcPr>
            <w:tcW w:w="9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20</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67" w:hRule="atLeast"/>
          <w:jc w:val="center"/>
        </w:trPr>
        <w:tc>
          <w:tcPr>
            <w:tcW w:w="468"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p>
        </w:tc>
        <w:tc>
          <w:tcPr>
            <w:tcW w:w="62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10</w:t>
            </w:r>
          </w:p>
        </w:tc>
        <w:tc>
          <w:tcPr>
            <w:tcW w:w="1143" w:type="dxa"/>
            <w:tcBorders>
              <w:top w:val="single" w:color="000000" w:sz="8" w:space="0"/>
              <w:left w:val="single" w:color="000000" w:sz="8" w:space="0"/>
              <w:bottom w:val="single" w:color="000000" w:sz="8" w:space="0"/>
              <w:right w:val="single" w:color="000000" w:sz="8" w:space="0"/>
              <w:tr2bl w:val="single" w:color="auto"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p>
        </w:tc>
        <w:tc>
          <w:tcPr>
            <w:tcW w:w="108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themeColor="text1"/>
                <w:sz w:val="21"/>
              </w:rPr>
            </w:pPr>
            <w:r>
              <w:rPr>
                <w:rFonts w:hint="eastAsia" w:eastAsia="宋体" w:cs="宋体"/>
                <w:color w:val="000000" w:themeColor="text1"/>
                <w:sz w:val="21"/>
                <w:lang w:val="en-US" w:eastAsia="zh-CN"/>
              </w:rPr>
              <w:t>0</w:t>
            </w:r>
          </w:p>
        </w:tc>
        <w:tc>
          <w:tcPr>
            <w:tcW w:w="16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themeColor="text1"/>
                <w:sz w:val="21"/>
              </w:rPr>
            </w:pPr>
            <w:r>
              <w:rPr>
                <w:rFonts w:hint="eastAsia" w:eastAsia="宋体" w:cs="宋体"/>
                <w:color w:val="000000" w:themeColor="text1"/>
                <w:sz w:val="21"/>
                <w:lang w:val="en-US" w:eastAsia="zh-CN"/>
              </w:rPr>
              <w:t>13+3</w:t>
            </w:r>
          </w:p>
        </w:tc>
        <w:tc>
          <w:tcPr>
            <w:tcW w:w="70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1</w:t>
            </w:r>
          </w:p>
        </w:tc>
        <w:tc>
          <w:tcPr>
            <w:tcW w:w="7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1</w:t>
            </w:r>
          </w:p>
        </w:tc>
        <w:tc>
          <w:tcPr>
            <w:tcW w:w="1418" w:type="dxa"/>
            <w:tcBorders>
              <w:top w:val="single" w:color="000000" w:sz="8" w:space="0"/>
              <w:left w:val="single" w:color="000000" w:sz="8" w:space="0"/>
              <w:bottom w:val="single" w:color="000000" w:sz="8" w:space="0"/>
              <w:right w:val="single" w:color="000000" w:sz="8" w:space="0"/>
              <w:tr2bl w:val="single" w:color="auto"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p>
        </w:tc>
        <w:tc>
          <w:tcPr>
            <w:tcW w:w="9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18</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85" w:hRule="atLeast"/>
          <w:jc w:val="center"/>
        </w:trPr>
        <w:tc>
          <w:tcPr>
            <w:tcW w:w="1092"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合计</w:t>
            </w:r>
          </w:p>
        </w:tc>
        <w:tc>
          <w:tcPr>
            <w:tcW w:w="11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lang w:val="en-US" w:eastAsia="zh-CN"/>
              </w:rPr>
            </w:pPr>
            <w:r>
              <w:rPr>
                <w:rFonts w:hint="eastAsia" w:eastAsia="宋体" w:cs="宋体"/>
                <w:color w:val="000000"/>
                <w:sz w:val="21"/>
                <w:lang w:val="en-US" w:eastAsia="zh-CN"/>
              </w:rPr>
              <w:t>3</w:t>
            </w:r>
          </w:p>
        </w:tc>
        <w:tc>
          <w:tcPr>
            <w:tcW w:w="108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p>
        </w:tc>
        <w:tc>
          <w:tcPr>
            <w:tcW w:w="16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p>
        </w:tc>
        <w:tc>
          <w:tcPr>
            <w:tcW w:w="70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p>
        </w:tc>
        <w:tc>
          <w:tcPr>
            <w:tcW w:w="7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p>
        </w:tc>
        <w:tc>
          <w:tcPr>
            <w:tcW w:w="141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p>
        </w:tc>
        <w:tc>
          <w:tcPr>
            <w:tcW w:w="9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rPr>
            </w:pPr>
          </w:p>
        </w:tc>
      </w:tr>
    </w:tbl>
    <w:p>
      <w:pPr>
        <w:widowControl/>
        <w:snapToGrid w:val="0"/>
        <w:spacing w:line="400" w:lineRule="exact"/>
        <w:ind w:firstLine="0"/>
        <w:jc w:val="left"/>
        <w:rPr>
          <w:color w:val="000000"/>
        </w:rPr>
        <w:sectPr>
          <w:footerReference r:id="rId8" w:type="default"/>
          <w:pgSz w:w="11906" w:h="16838"/>
          <w:pgMar w:top="1418" w:right="1418" w:bottom="1418" w:left="1418" w:header="851" w:footer="992" w:gutter="0"/>
          <w:pgBorders>
            <w:top w:val="none" w:sz="0" w:space="0"/>
            <w:left w:val="none" w:sz="0" w:space="0"/>
            <w:bottom w:val="none" w:sz="0" w:space="0"/>
            <w:right w:val="none" w:sz="0" w:space="0"/>
          </w:pgBorders>
          <w:pgNumType w:start="1"/>
          <w:cols w:space="720" w:num="1"/>
          <w:docGrid w:linePitch="312" w:charSpace="0"/>
        </w:sectPr>
      </w:pPr>
    </w:p>
    <w:p>
      <w:pPr>
        <w:widowControl/>
        <w:snapToGrid w:val="0"/>
        <w:ind w:left="482" w:firstLine="0"/>
        <w:jc w:val="left"/>
        <w:rPr>
          <w:rFonts w:ascii="仿宋" w:hAnsi="仿宋" w:eastAsia="仿宋"/>
          <w:b/>
          <w:color w:val="000000"/>
          <w:sz w:val="24"/>
        </w:rPr>
      </w:pPr>
      <w:r>
        <w:rPr>
          <w:rFonts w:hint="eastAsia" w:ascii="仿宋" w:hAnsi="仿宋" w:eastAsia="仿宋"/>
          <w:b/>
          <w:color w:val="000000"/>
          <w:sz w:val="24"/>
        </w:rPr>
        <w:t>（三）教学进程表</w:t>
      </w:r>
    </w:p>
    <w:p>
      <w:pPr>
        <w:widowControl/>
        <w:snapToGrid w:val="0"/>
        <w:ind w:left="482" w:firstLine="0"/>
        <w:jc w:val="left"/>
        <w:rPr>
          <w:rFonts w:ascii="仿宋" w:hAnsi="仿宋" w:eastAsia="仿宋"/>
          <w:b/>
          <w:color w:val="000000"/>
          <w:sz w:val="24"/>
        </w:rPr>
      </w:pPr>
      <w:r>
        <w:rPr>
          <w:rFonts w:hint="eastAsia" w:ascii="仿宋" w:hAnsi="仿宋" w:eastAsia="仿宋"/>
          <w:b/>
          <w:color w:val="000000"/>
          <w:sz w:val="24"/>
        </w:rPr>
        <w:t>1</w:t>
      </w:r>
      <w:r>
        <w:rPr>
          <w:rFonts w:ascii="仿宋" w:hAnsi="仿宋" w:eastAsia="仿宋"/>
          <w:b/>
          <w:color w:val="000000"/>
          <w:sz w:val="24"/>
        </w:rPr>
        <w:t>.</w:t>
      </w:r>
      <w:r>
        <w:rPr>
          <w:rFonts w:hint="eastAsia" w:ascii="仿宋" w:hAnsi="仿宋" w:eastAsia="仿宋"/>
          <w:b/>
          <w:color w:val="000000"/>
          <w:sz w:val="24"/>
        </w:rPr>
        <w:t>中职阶段教学进程表</w:t>
      </w:r>
    </w:p>
    <w:tbl>
      <w:tblPr>
        <w:tblStyle w:val="9"/>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27"/>
        <w:gridCol w:w="384"/>
        <w:gridCol w:w="467"/>
        <w:gridCol w:w="2452"/>
        <w:gridCol w:w="427"/>
        <w:gridCol w:w="732"/>
        <w:gridCol w:w="527"/>
        <w:gridCol w:w="681"/>
        <w:gridCol w:w="682"/>
        <w:gridCol w:w="687"/>
        <w:gridCol w:w="653"/>
        <w:gridCol w:w="544"/>
        <w:gridCol w:w="578"/>
        <w:gridCol w:w="622"/>
        <w:gridCol w:w="624"/>
        <w:gridCol w:w="555"/>
        <w:gridCol w:w="59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9" w:hRule="atLeast"/>
          <w:tblHeader/>
          <w:jc w:val="center"/>
        </w:trPr>
        <w:tc>
          <w:tcPr>
            <w:tcW w:w="540" w:type="dxa"/>
            <w:vMerge w:val="restart"/>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bookmarkStart w:id="0" w:name="RANGE!B2:Q58"/>
            <w:bookmarkEnd w:id="0"/>
            <w:bookmarkStart w:id="1" w:name="OLE_LINK2"/>
            <w:r>
              <w:rPr>
                <w:rFonts w:hint="eastAsia" w:ascii="宋体" w:hAnsi="宋体" w:eastAsia="宋体" w:cs="宋体"/>
                <w:b/>
                <w:color w:val="000000"/>
                <w:sz w:val="21"/>
                <w:szCs w:val="21"/>
              </w:rPr>
              <w:t>课程分类</w:t>
            </w:r>
          </w:p>
        </w:tc>
        <w:tc>
          <w:tcPr>
            <w:tcW w:w="411" w:type="dxa"/>
            <w:gridSpan w:val="2"/>
            <w:vMerge w:val="restart"/>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课程属性</w:t>
            </w:r>
          </w:p>
        </w:tc>
        <w:tc>
          <w:tcPr>
            <w:tcW w:w="467" w:type="dxa"/>
            <w:vMerge w:val="restart"/>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教育阶段</w:t>
            </w:r>
          </w:p>
        </w:tc>
        <w:tc>
          <w:tcPr>
            <w:tcW w:w="2452" w:type="dxa"/>
            <w:vMerge w:val="restart"/>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课程名称</w:t>
            </w:r>
          </w:p>
        </w:tc>
        <w:tc>
          <w:tcPr>
            <w:tcW w:w="427" w:type="dxa"/>
            <w:vMerge w:val="restart"/>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学分</w:t>
            </w:r>
          </w:p>
        </w:tc>
        <w:tc>
          <w:tcPr>
            <w:tcW w:w="2622" w:type="dxa"/>
            <w:gridSpan w:val="4"/>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教学时数</w:t>
            </w:r>
          </w:p>
        </w:tc>
        <w:tc>
          <w:tcPr>
            <w:tcW w:w="1340" w:type="dxa"/>
            <w:gridSpan w:val="2"/>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考核方式</w:t>
            </w:r>
          </w:p>
        </w:tc>
        <w:tc>
          <w:tcPr>
            <w:tcW w:w="3516" w:type="dxa"/>
            <w:gridSpan w:val="6"/>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学期周学时数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9" w:hRule="atLeast"/>
          <w:tblHeader/>
          <w:jc w:val="center"/>
        </w:trPr>
        <w:tc>
          <w:tcPr>
            <w:tcW w:w="540" w:type="dxa"/>
            <w:vMerge w:val="continue"/>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411" w:type="dxa"/>
            <w:gridSpan w:val="2"/>
            <w:vMerge w:val="continue"/>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467" w:type="dxa"/>
            <w:vMerge w:val="continue"/>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452" w:type="dxa"/>
            <w:vMerge w:val="continue"/>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427" w:type="dxa"/>
            <w:vMerge w:val="continue"/>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732" w:type="dxa"/>
            <w:vMerge w:val="restart"/>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课程总学时</w:t>
            </w:r>
          </w:p>
        </w:tc>
        <w:tc>
          <w:tcPr>
            <w:tcW w:w="527" w:type="dxa"/>
            <w:vMerge w:val="restart"/>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理论教学</w:t>
            </w:r>
          </w:p>
        </w:tc>
        <w:tc>
          <w:tcPr>
            <w:tcW w:w="681" w:type="dxa"/>
            <w:vMerge w:val="restart"/>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理实一体教学</w:t>
            </w:r>
          </w:p>
        </w:tc>
        <w:tc>
          <w:tcPr>
            <w:tcW w:w="682" w:type="dxa"/>
            <w:vMerge w:val="restart"/>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实践教学</w:t>
            </w:r>
          </w:p>
        </w:tc>
        <w:tc>
          <w:tcPr>
            <w:tcW w:w="687" w:type="dxa"/>
            <w:vMerge w:val="restart"/>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考试学期</w:t>
            </w:r>
          </w:p>
        </w:tc>
        <w:tc>
          <w:tcPr>
            <w:tcW w:w="653" w:type="dxa"/>
            <w:vMerge w:val="restart"/>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考查学期</w:t>
            </w:r>
          </w:p>
        </w:tc>
        <w:tc>
          <w:tcPr>
            <w:tcW w:w="544"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一</w:t>
            </w:r>
          </w:p>
        </w:tc>
        <w:tc>
          <w:tcPr>
            <w:tcW w:w="578"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二</w:t>
            </w:r>
          </w:p>
        </w:tc>
        <w:tc>
          <w:tcPr>
            <w:tcW w:w="622"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三</w:t>
            </w:r>
          </w:p>
        </w:tc>
        <w:tc>
          <w:tcPr>
            <w:tcW w:w="624"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四</w:t>
            </w:r>
          </w:p>
        </w:tc>
        <w:tc>
          <w:tcPr>
            <w:tcW w:w="555"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五</w:t>
            </w:r>
          </w:p>
        </w:tc>
        <w:tc>
          <w:tcPr>
            <w:tcW w:w="593"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9" w:hRule="atLeast"/>
          <w:tblHeader/>
          <w:jc w:val="center"/>
        </w:trPr>
        <w:tc>
          <w:tcPr>
            <w:tcW w:w="540" w:type="dxa"/>
            <w:vMerge w:val="continue"/>
            <w:tcBorders>
              <w:bottom w:val="single" w:color="000000" w:sz="12"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411" w:type="dxa"/>
            <w:gridSpan w:val="2"/>
            <w:vMerge w:val="continue"/>
            <w:tcBorders>
              <w:bottom w:val="single" w:color="000000" w:sz="12"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467" w:type="dxa"/>
            <w:vMerge w:val="continue"/>
            <w:tcBorders>
              <w:bottom w:val="single" w:color="000000" w:sz="12"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2452" w:type="dxa"/>
            <w:vMerge w:val="continue"/>
            <w:tcBorders>
              <w:bottom w:val="single" w:color="000000" w:sz="12"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427" w:type="dxa"/>
            <w:vMerge w:val="continue"/>
            <w:tcBorders>
              <w:bottom w:val="single" w:color="000000" w:sz="12"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732" w:type="dxa"/>
            <w:vMerge w:val="continue"/>
            <w:tcBorders>
              <w:bottom w:val="single" w:color="000000" w:sz="12"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527" w:type="dxa"/>
            <w:vMerge w:val="continue"/>
            <w:tcBorders>
              <w:bottom w:val="single" w:color="000000" w:sz="12"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81" w:type="dxa"/>
            <w:vMerge w:val="continue"/>
            <w:tcBorders>
              <w:bottom w:val="single" w:color="000000" w:sz="12"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82" w:type="dxa"/>
            <w:vMerge w:val="continue"/>
            <w:tcBorders>
              <w:bottom w:val="single" w:color="000000" w:sz="12"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87" w:type="dxa"/>
            <w:vMerge w:val="continue"/>
            <w:tcBorders>
              <w:bottom w:val="single" w:color="000000" w:sz="12"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53" w:type="dxa"/>
            <w:vMerge w:val="continue"/>
            <w:tcBorders>
              <w:bottom w:val="single" w:color="000000" w:sz="12"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544" w:type="dxa"/>
            <w:tcBorders>
              <w:bottom w:val="single" w:color="000000" w:sz="12"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578" w:type="dxa"/>
            <w:tcBorders>
              <w:bottom w:val="single" w:color="000000" w:sz="12"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22" w:type="dxa"/>
            <w:tcBorders>
              <w:bottom w:val="single" w:color="000000" w:sz="12"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24" w:type="dxa"/>
            <w:tcBorders>
              <w:bottom w:val="single" w:color="000000" w:sz="12"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555" w:type="dxa"/>
            <w:tcBorders>
              <w:bottom w:val="single" w:color="000000" w:sz="12"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593" w:type="dxa"/>
            <w:tcBorders>
              <w:bottom w:val="single" w:color="000000" w:sz="12" w:space="0"/>
            </w:tcBorders>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540" w:type="dxa"/>
            <w:vMerge w:val="restart"/>
            <w:tcBorders>
              <w:top w:val="single" w:color="000000" w:sz="12" w:space="0"/>
            </w:tcBorders>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思想政治理论</w:t>
            </w:r>
          </w:p>
          <w:p>
            <w:pPr>
              <w:snapToGrid w:val="0"/>
              <w:ind w:firstLine="0"/>
              <w:jc w:val="center"/>
              <w:rPr>
                <w:rFonts w:hint="eastAsia" w:eastAsia="宋体" w:cs="宋体"/>
                <w:color w:val="000000"/>
                <w:sz w:val="21"/>
                <w:szCs w:val="21"/>
              </w:rPr>
            </w:pPr>
          </w:p>
        </w:tc>
        <w:tc>
          <w:tcPr>
            <w:tcW w:w="411" w:type="dxa"/>
            <w:gridSpan w:val="2"/>
            <w:vMerge w:val="restart"/>
            <w:tcBorders>
              <w:top w:val="single" w:color="000000" w:sz="12" w:space="0"/>
            </w:tcBorders>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必修</w:t>
            </w:r>
          </w:p>
          <w:p>
            <w:pPr>
              <w:widowControl/>
              <w:snapToGrid w:val="0"/>
              <w:ind w:firstLine="0"/>
              <w:jc w:val="center"/>
              <w:rPr>
                <w:rFonts w:hint="eastAsia" w:eastAsia="宋体" w:cs="宋体"/>
                <w:color w:val="000000"/>
                <w:sz w:val="21"/>
                <w:szCs w:val="21"/>
              </w:rPr>
            </w:pPr>
          </w:p>
        </w:tc>
        <w:tc>
          <w:tcPr>
            <w:tcW w:w="467" w:type="dxa"/>
            <w:vMerge w:val="restart"/>
            <w:tcBorders>
              <w:top w:val="single" w:color="000000" w:sz="12" w:space="0"/>
            </w:tcBorders>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中职阶段</w:t>
            </w:r>
          </w:p>
        </w:tc>
        <w:tc>
          <w:tcPr>
            <w:tcW w:w="2452" w:type="dxa"/>
            <w:tcBorders>
              <w:top w:val="single" w:color="000000" w:sz="12" w:space="0"/>
            </w:tcBorders>
            <w:tcMar>
              <w:top w:w="0" w:type="dxa"/>
              <w:left w:w="108" w:type="dxa"/>
              <w:bottom w:w="0" w:type="dxa"/>
              <w:right w:w="108" w:type="dxa"/>
            </w:tcMar>
            <w:vAlign w:val="center"/>
          </w:tcPr>
          <w:p>
            <w:pPr>
              <w:snapToGrid w:val="0"/>
              <w:ind w:firstLine="0"/>
              <w:rPr>
                <w:rFonts w:hint="eastAsia" w:ascii="宋体" w:hAnsi="宋体" w:eastAsia="宋体" w:cs="宋体"/>
                <w:color w:val="000000"/>
                <w:sz w:val="21"/>
                <w:szCs w:val="21"/>
              </w:rPr>
            </w:pPr>
            <w:r>
              <w:rPr>
                <w:rFonts w:hint="eastAsia" w:ascii="宋体" w:hAnsi="宋体" w:eastAsia="宋体" w:cs="宋体"/>
                <w:color w:val="000000"/>
                <w:sz w:val="21"/>
                <w:szCs w:val="21"/>
              </w:rPr>
              <w:t>中国特色社会主义</w:t>
            </w:r>
          </w:p>
        </w:tc>
        <w:tc>
          <w:tcPr>
            <w:tcW w:w="427" w:type="dxa"/>
            <w:tcBorders>
              <w:top w:val="single" w:color="000000" w:sz="12" w:space="0"/>
            </w:tcBorders>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732" w:type="dxa"/>
            <w:tcBorders>
              <w:top w:val="single" w:color="000000" w:sz="12" w:space="0"/>
            </w:tcBorders>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36</w:t>
            </w:r>
          </w:p>
        </w:tc>
        <w:tc>
          <w:tcPr>
            <w:tcW w:w="527" w:type="dxa"/>
            <w:tcBorders>
              <w:top w:val="single" w:color="000000" w:sz="12" w:space="0"/>
            </w:tcBorders>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Borders>
              <w:top w:val="single" w:color="000000" w:sz="12" w:space="0"/>
            </w:tcBorders>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Borders>
              <w:top w:val="single" w:color="000000" w:sz="12" w:space="0"/>
            </w:tcBorders>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shd w:val="pct10" w:color="000000" w:fill="FFFFFF"/>
              </w:rPr>
            </w:pPr>
          </w:p>
        </w:tc>
        <w:tc>
          <w:tcPr>
            <w:tcW w:w="687" w:type="dxa"/>
            <w:tcBorders>
              <w:top w:val="single" w:color="000000" w:sz="12" w:space="0"/>
            </w:tcBorders>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Borders>
              <w:top w:val="single" w:color="000000" w:sz="12" w:space="0"/>
            </w:tcBorders>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Borders>
              <w:top w:val="single" w:color="000000" w:sz="12" w:space="0"/>
            </w:tcBorders>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Borders>
              <w:top w:val="single" w:color="000000" w:sz="12" w:space="0"/>
            </w:tcBorders>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Borders>
              <w:top w:val="single" w:color="000000" w:sz="12" w:space="0"/>
            </w:tcBorders>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Borders>
              <w:top w:val="single" w:color="000000" w:sz="12" w:space="0"/>
            </w:tcBorders>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Borders>
              <w:top w:val="single" w:color="000000" w:sz="12" w:space="0"/>
            </w:tcBorders>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Borders>
              <w:top w:val="single" w:color="000000" w:sz="12" w:space="0"/>
            </w:tcBorders>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40" w:type="dxa"/>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11" w:type="dxa"/>
            <w:gridSpan w:val="2"/>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snapToGrid w:val="0"/>
              <w:ind w:firstLine="0"/>
              <w:rPr>
                <w:rFonts w:hint="eastAsia" w:ascii="宋体" w:hAnsi="宋体" w:eastAsia="宋体" w:cs="宋体"/>
                <w:color w:val="000000"/>
                <w:sz w:val="21"/>
                <w:szCs w:val="21"/>
              </w:rPr>
            </w:pPr>
            <w:r>
              <w:rPr>
                <w:rFonts w:hint="eastAsia" w:ascii="宋体" w:hAnsi="宋体" w:eastAsia="宋体" w:cs="宋体"/>
                <w:color w:val="000000"/>
                <w:sz w:val="21"/>
                <w:szCs w:val="21"/>
              </w:rPr>
              <w:t>心理健康与职业生涯</w:t>
            </w: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36</w:t>
            </w: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shd w:val="pct10" w:color="000000" w:fill="FFFFFF"/>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540" w:type="dxa"/>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11" w:type="dxa"/>
            <w:gridSpan w:val="2"/>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snapToGrid w:val="0"/>
              <w:ind w:firstLine="0"/>
              <w:rPr>
                <w:rFonts w:hint="eastAsia" w:ascii="宋体" w:hAnsi="宋体" w:eastAsia="宋体" w:cs="宋体"/>
                <w:color w:val="000000"/>
                <w:sz w:val="21"/>
                <w:szCs w:val="21"/>
              </w:rPr>
            </w:pPr>
            <w:r>
              <w:rPr>
                <w:rFonts w:hint="eastAsia" w:ascii="宋体" w:hAnsi="宋体" w:eastAsia="宋体" w:cs="宋体"/>
                <w:color w:val="000000"/>
                <w:sz w:val="21"/>
                <w:szCs w:val="21"/>
              </w:rPr>
              <w:t>哲学与人生</w:t>
            </w: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36</w:t>
            </w: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shd w:val="pct10" w:color="000000" w:fill="FFFFFF"/>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540" w:type="dxa"/>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11" w:type="dxa"/>
            <w:gridSpan w:val="2"/>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snapToGrid w:val="0"/>
              <w:ind w:firstLine="0"/>
              <w:rPr>
                <w:rFonts w:hint="eastAsia" w:ascii="宋体" w:hAnsi="宋体" w:eastAsia="宋体" w:cs="宋体"/>
                <w:color w:val="000000"/>
                <w:sz w:val="21"/>
                <w:szCs w:val="21"/>
              </w:rPr>
            </w:pPr>
            <w:r>
              <w:rPr>
                <w:rFonts w:hint="eastAsia" w:ascii="宋体" w:hAnsi="宋体" w:eastAsia="宋体" w:cs="宋体"/>
                <w:color w:val="000000"/>
                <w:sz w:val="21"/>
                <w:szCs w:val="21"/>
              </w:rPr>
              <w:t>职业道德与法治</w:t>
            </w: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36</w:t>
            </w: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shd w:val="pct10" w:color="000000" w:fill="FFFFFF"/>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540" w:type="dxa"/>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11" w:type="dxa"/>
            <w:gridSpan w:val="2"/>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widowControl/>
              <w:snapToGrid w:val="0"/>
              <w:ind w:left="416" w:leftChars="208" w:firstLine="3339" w:firstLineChars="1590"/>
              <w:rPr>
                <w:rFonts w:hint="eastAsia" w:ascii="宋体" w:eastAsia="宋体" w:cs="宋体"/>
                <w:color w:val="000000"/>
                <w:sz w:val="21"/>
                <w:szCs w:val="21"/>
              </w:rPr>
            </w:pPr>
            <w:r>
              <w:rPr>
                <w:rFonts w:hint="eastAsia" w:ascii="宋体" w:eastAsia="宋体" w:cs="宋体"/>
                <w:color w:val="000000"/>
                <w:sz w:val="21"/>
                <w:szCs w:val="21"/>
              </w:rPr>
              <w:t xml:space="preserve"> 小计</w:t>
            </w: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144</w:t>
            </w: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shd w:val="pct10" w:color="000000" w:fill="FFFFFF"/>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540" w:type="dxa"/>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11" w:type="dxa"/>
            <w:gridSpan w:val="2"/>
            <w:vMerge w:val="restart"/>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选修</w:t>
            </w:r>
          </w:p>
        </w:tc>
        <w:tc>
          <w:tcPr>
            <w:tcW w:w="467" w:type="dxa"/>
            <w:vMerge w:val="restart"/>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中职阶段</w:t>
            </w:r>
          </w:p>
        </w:tc>
        <w:tc>
          <w:tcPr>
            <w:tcW w:w="2452" w:type="dxa"/>
            <w:tcMar>
              <w:top w:w="0" w:type="dxa"/>
              <w:left w:w="108" w:type="dxa"/>
              <w:bottom w:w="0" w:type="dxa"/>
              <w:right w:w="108" w:type="dxa"/>
            </w:tcMar>
            <w:vAlign w:val="center"/>
          </w:tcPr>
          <w:p>
            <w:pPr>
              <w:widowControl/>
              <w:snapToGrid w:val="0"/>
              <w:ind w:left="416" w:leftChars="208" w:firstLine="3339" w:firstLineChars="1590"/>
              <w:rPr>
                <w:rFonts w:hint="eastAsia" w:ascii="宋体" w:eastAsia="宋体" w:cs="宋体"/>
                <w:color w:val="000000"/>
                <w:sz w:val="21"/>
                <w:szCs w:val="21"/>
              </w:rPr>
            </w:pP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u w:val="single"/>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u w:val="single"/>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shd w:val="pct10" w:color="000000" w:fill="FFFFFF"/>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540" w:type="dxa"/>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11" w:type="dxa"/>
            <w:gridSpan w:val="2"/>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widowControl/>
              <w:snapToGrid w:val="0"/>
              <w:ind w:left="416" w:leftChars="208" w:firstLine="3339" w:firstLineChars="1590"/>
              <w:rPr>
                <w:rFonts w:hint="eastAsia" w:ascii="宋体" w:eastAsia="宋体" w:cs="宋体"/>
                <w:color w:val="000000"/>
                <w:sz w:val="21"/>
                <w:szCs w:val="21"/>
              </w:rPr>
            </w:pP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u w:val="single"/>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u w:val="single"/>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shd w:val="pct10" w:color="000000" w:fill="FFFFFF"/>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540" w:type="dxa"/>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11" w:type="dxa"/>
            <w:gridSpan w:val="2"/>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widowControl/>
              <w:snapToGrid w:val="0"/>
              <w:ind w:left="416" w:leftChars="208" w:firstLine="3339" w:firstLineChars="1590"/>
              <w:rPr>
                <w:rFonts w:hint="eastAsia" w:ascii="宋体" w:eastAsia="宋体" w:cs="宋体"/>
                <w:color w:val="000000"/>
                <w:sz w:val="21"/>
                <w:szCs w:val="21"/>
              </w:rPr>
            </w:pP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u w:val="single"/>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u w:val="single"/>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shd w:val="pct10" w:color="000000" w:fill="FFFFFF"/>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540" w:type="dxa"/>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11" w:type="dxa"/>
            <w:gridSpan w:val="2"/>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widowControl/>
              <w:snapToGrid w:val="0"/>
              <w:ind w:left="416" w:leftChars="208" w:firstLine="3339" w:firstLineChars="1590"/>
              <w:rPr>
                <w:rFonts w:hint="eastAsia" w:ascii="宋体" w:eastAsia="宋体" w:cs="宋体"/>
                <w:color w:val="000000"/>
                <w:sz w:val="21"/>
                <w:szCs w:val="21"/>
              </w:rPr>
            </w:pP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36</w:t>
            </w: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shd w:val="pct10" w:color="000000" w:fill="FFFFFF"/>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40" w:type="dxa"/>
            <w:vMerge w:val="restart"/>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通识教育</w:t>
            </w:r>
          </w:p>
          <w:p>
            <w:pPr>
              <w:snapToGrid w:val="0"/>
              <w:ind w:firstLine="0"/>
              <w:jc w:val="center"/>
              <w:rPr>
                <w:rFonts w:hint="eastAsia" w:eastAsia="宋体" w:cs="宋体"/>
                <w:color w:val="000000"/>
                <w:sz w:val="21"/>
                <w:szCs w:val="21"/>
              </w:rPr>
            </w:pPr>
          </w:p>
        </w:tc>
        <w:tc>
          <w:tcPr>
            <w:tcW w:w="411" w:type="dxa"/>
            <w:gridSpan w:val="2"/>
            <w:vMerge w:val="restart"/>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必修</w:t>
            </w:r>
          </w:p>
          <w:p>
            <w:pPr>
              <w:snapToGrid w:val="0"/>
              <w:ind w:firstLine="0"/>
              <w:jc w:val="center"/>
              <w:rPr>
                <w:rFonts w:hint="eastAsia" w:eastAsia="宋体" w:cs="宋体"/>
                <w:color w:val="000000"/>
                <w:sz w:val="21"/>
                <w:szCs w:val="21"/>
              </w:rPr>
            </w:pPr>
          </w:p>
        </w:tc>
        <w:tc>
          <w:tcPr>
            <w:tcW w:w="467" w:type="dxa"/>
            <w:vMerge w:val="restart"/>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中职阶段</w:t>
            </w:r>
          </w:p>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snapToGrid w:val="0"/>
              <w:ind w:left="416" w:leftChars="208" w:firstLine="3339" w:firstLineChars="159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劳动教育</w:t>
            </w: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40" w:type="dxa"/>
            <w:vMerge w:val="continue"/>
            <w:tcMar>
              <w:top w:w="0" w:type="dxa"/>
              <w:left w:w="108" w:type="dxa"/>
              <w:bottom w:w="0" w:type="dxa"/>
              <w:right w:w="108" w:type="dxa"/>
            </w:tcMar>
            <w:vAlign w:val="center"/>
          </w:tcPr>
          <w:p>
            <w:pPr>
              <w:snapToGrid w:val="0"/>
              <w:ind w:firstLine="0"/>
              <w:jc w:val="center"/>
              <w:rPr>
                <w:rFonts w:hint="eastAsia" w:eastAsia="宋体" w:cs="宋体"/>
                <w:color w:val="000000"/>
                <w:sz w:val="21"/>
                <w:szCs w:val="21"/>
              </w:rPr>
            </w:pPr>
          </w:p>
        </w:tc>
        <w:tc>
          <w:tcPr>
            <w:tcW w:w="411" w:type="dxa"/>
            <w:gridSpan w:val="2"/>
            <w:vMerge w:val="continue"/>
            <w:tcMar>
              <w:top w:w="0" w:type="dxa"/>
              <w:left w:w="108" w:type="dxa"/>
              <w:bottom w:w="0" w:type="dxa"/>
              <w:right w:w="108" w:type="dxa"/>
            </w:tcMar>
            <w:vAlign w:val="center"/>
          </w:tcPr>
          <w:p>
            <w:pPr>
              <w:snapToGrid w:val="0"/>
              <w:ind w:firstLine="0"/>
              <w:jc w:val="center"/>
              <w:rPr>
                <w:rFonts w:hint="eastAsia"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snapToGrid w:val="0"/>
              <w:ind w:left="416" w:leftChars="208" w:firstLine="3339" w:firstLineChars="1590"/>
              <w:rPr>
                <w:rFonts w:hint="eastAsia" w:ascii="宋体" w:hAnsi="宋体" w:eastAsia="宋体" w:cs="宋体"/>
                <w:color w:val="000000"/>
                <w:sz w:val="21"/>
                <w:szCs w:val="21"/>
              </w:rPr>
            </w:pP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40" w:type="dxa"/>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11" w:type="dxa"/>
            <w:gridSpan w:val="2"/>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snapToGrid w:val="0"/>
              <w:rPr>
                <w:rFonts w:hint="eastAsia" w:ascii="宋体" w:eastAsia="宋体" w:cs="宋体"/>
                <w:color w:val="000000"/>
                <w:sz w:val="21"/>
                <w:szCs w:val="21"/>
              </w:rPr>
            </w:pPr>
            <w:r>
              <w:rPr>
                <w:rFonts w:hint="eastAsia" w:ascii="宋体" w:eastAsia="宋体" w:cs="宋体"/>
                <w:color w:val="000000"/>
                <w:sz w:val="21"/>
                <w:szCs w:val="21"/>
              </w:rPr>
              <w:t>▲</w:t>
            </w: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40" w:type="dxa"/>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11" w:type="dxa"/>
            <w:gridSpan w:val="2"/>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snapToGrid w:val="0"/>
              <w:rPr>
                <w:rFonts w:hint="eastAsia" w:ascii="宋体" w:eastAsia="宋体" w:cs="宋体"/>
                <w:color w:val="000000"/>
                <w:sz w:val="21"/>
                <w:szCs w:val="21"/>
              </w:rPr>
            </w:pPr>
            <w:r>
              <w:rPr>
                <w:rFonts w:hint="eastAsia" w:ascii="宋体" w:eastAsia="宋体" w:cs="宋体"/>
                <w:color w:val="000000"/>
                <w:sz w:val="21"/>
                <w:szCs w:val="21"/>
              </w:rPr>
              <w:t>▲</w:t>
            </w: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40" w:type="dxa"/>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11" w:type="dxa"/>
            <w:gridSpan w:val="2"/>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snapToGrid w:val="0"/>
              <w:ind w:left="834" w:leftChars="417" w:firstLine="2916" w:firstLineChars="1389"/>
              <w:rPr>
                <w:rFonts w:hint="eastAsia" w:ascii="宋体" w:eastAsia="宋体" w:cs="宋体"/>
                <w:color w:val="000000"/>
                <w:sz w:val="21"/>
                <w:szCs w:val="21"/>
              </w:rPr>
            </w:pPr>
            <w:r>
              <w:rPr>
                <w:rFonts w:hint="eastAsia" w:ascii="宋体" w:eastAsia="宋体" w:cs="宋体"/>
                <w:color w:val="000000"/>
                <w:sz w:val="21"/>
                <w:szCs w:val="21"/>
              </w:rPr>
              <w:t>小小计</w:t>
            </w: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40" w:type="dxa"/>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11" w:type="dxa"/>
            <w:gridSpan w:val="2"/>
            <w:vMerge w:val="restart"/>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选修</w:t>
            </w:r>
          </w:p>
        </w:tc>
        <w:tc>
          <w:tcPr>
            <w:tcW w:w="467" w:type="dxa"/>
            <w:vMerge w:val="restart"/>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中职阶段</w:t>
            </w:r>
          </w:p>
        </w:tc>
        <w:tc>
          <w:tcPr>
            <w:tcW w:w="2452" w:type="dxa"/>
            <w:tcMar>
              <w:top w:w="0" w:type="dxa"/>
              <w:left w:w="108" w:type="dxa"/>
              <w:bottom w:w="0" w:type="dxa"/>
              <w:right w:w="108" w:type="dxa"/>
            </w:tcMar>
            <w:vAlign w:val="center"/>
          </w:tcPr>
          <w:p>
            <w:pPr>
              <w:snapToGrid w:val="0"/>
              <w:ind w:left="834" w:leftChars="417" w:firstLine="2916" w:firstLineChars="1389"/>
              <w:rPr>
                <w:rFonts w:hint="eastAsia" w:ascii="宋体" w:eastAsia="宋体" w:cs="宋体"/>
                <w:color w:val="000000"/>
                <w:sz w:val="21"/>
                <w:szCs w:val="21"/>
              </w:rPr>
            </w:pP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540" w:type="dxa"/>
            <w:vMerge w:val="continue"/>
            <w:tcMar>
              <w:top w:w="0" w:type="dxa"/>
              <w:left w:w="108" w:type="dxa"/>
              <w:bottom w:w="0" w:type="dxa"/>
              <w:right w:w="108" w:type="dxa"/>
            </w:tcMar>
            <w:vAlign w:val="center"/>
          </w:tcPr>
          <w:p>
            <w:pPr>
              <w:snapToGrid w:val="0"/>
              <w:ind w:firstLine="0"/>
              <w:jc w:val="center"/>
              <w:rPr>
                <w:rFonts w:hint="eastAsia" w:eastAsia="宋体" w:cs="宋体"/>
                <w:color w:val="000000"/>
                <w:sz w:val="21"/>
                <w:szCs w:val="21"/>
              </w:rPr>
            </w:pPr>
          </w:p>
        </w:tc>
        <w:tc>
          <w:tcPr>
            <w:tcW w:w="411" w:type="dxa"/>
            <w:gridSpan w:val="2"/>
            <w:vMerge w:val="continue"/>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467" w:type="dxa"/>
            <w:vMerge w:val="continue"/>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527"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81"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82"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87"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53"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544"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578"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22"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24"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555"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593"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540" w:type="dxa"/>
            <w:vMerge w:val="continue"/>
            <w:tcMar>
              <w:top w:w="0" w:type="dxa"/>
              <w:left w:w="108" w:type="dxa"/>
              <w:bottom w:w="0" w:type="dxa"/>
              <w:right w:w="108" w:type="dxa"/>
            </w:tcMar>
            <w:vAlign w:val="center"/>
          </w:tcPr>
          <w:p>
            <w:pPr>
              <w:snapToGrid w:val="0"/>
              <w:ind w:firstLine="0"/>
              <w:jc w:val="center"/>
              <w:rPr>
                <w:rFonts w:hint="eastAsia" w:eastAsia="宋体" w:cs="宋体"/>
                <w:color w:val="000000"/>
                <w:sz w:val="21"/>
                <w:szCs w:val="21"/>
              </w:rPr>
            </w:pPr>
          </w:p>
        </w:tc>
        <w:tc>
          <w:tcPr>
            <w:tcW w:w="411" w:type="dxa"/>
            <w:gridSpan w:val="2"/>
            <w:vMerge w:val="continue"/>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467" w:type="dxa"/>
            <w:vMerge w:val="continue"/>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527"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81"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82"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87"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53"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544"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578"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22"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24"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555"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593"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540" w:type="dxa"/>
            <w:vMerge w:val="continue"/>
            <w:tcMar>
              <w:top w:w="0" w:type="dxa"/>
              <w:left w:w="108" w:type="dxa"/>
              <w:bottom w:w="0" w:type="dxa"/>
              <w:right w:w="108" w:type="dxa"/>
            </w:tcMar>
            <w:vAlign w:val="center"/>
          </w:tcPr>
          <w:p>
            <w:pPr>
              <w:snapToGrid w:val="0"/>
              <w:ind w:firstLine="0"/>
              <w:jc w:val="center"/>
              <w:rPr>
                <w:rFonts w:hint="eastAsia" w:eastAsia="宋体" w:cs="宋体"/>
                <w:color w:val="000000"/>
                <w:sz w:val="21"/>
                <w:szCs w:val="21"/>
              </w:rPr>
            </w:pPr>
          </w:p>
        </w:tc>
        <w:tc>
          <w:tcPr>
            <w:tcW w:w="411" w:type="dxa"/>
            <w:gridSpan w:val="2"/>
            <w:vMerge w:val="continue"/>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467" w:type="dxa"/>
            <w:vMerge w:val="continue"/>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小计</w:t>
            </w: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527"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81"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82"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87"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53"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544"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578"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22"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624"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555"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c>
          <w:tcPr>
            <w:tcW w:w="593" w:type="dxa"/>
            <w:tcMar>
              <w:top w:w="0" w:type="dxa"/>
              <w:left w:w="108" w:type="dxa"/>
              <w:bottom w:w="0" w:type="dxa"/>
              <w:right w:w="108" w:type="dxa"/>
            </w:tcMar>
            <w:vAlign w:val="center"/>
          </w:tcPr>
          <w:p>
            <w:pPr>
              <w:snapToGrid w:val="0"/>
              <w:ind w:firstLine="0"/>
              <w:jc w:val="center"/>
              <w:rPr>
                <w:rFonts w:hint="eastAsia" w:ascii="宋体" w:hAnsi="宋体" w:eastAsia="宋体" w:cs="宋体"/>
                <w:b/>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870" w:type="dxa"/>
            <w:gridSpan w:val="5"/>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思想政治理论课、通识教育课程合计（不少于1000学时）</w:t>
            </w: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567" w:type="dxa"/>
            <w:gridSpan w:val="2"/>
            <w:vMerge w:val="restart"/>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专业核心</w:t>
            </w:r>
          </w:p>
          <w:p>
            <w:pPr>
              <w:widowControl/>
              <w:snapToGrid w:val="0"/>
              <w:ind w:firstLine="0"/>
              <w:jc w:val="center"/>
              <w:rPr>
                <w:rFonts w:hint="eastAsia" w:eastAsia="宋体" w:cs="宋体"/>
                <w:color w:val="000000"/>
                <w:sz w:val="21"/>
                <w:szCs w:val="21"/>
              </w:rPr>
            </w:pPr>
          </w:p>
        </w:tc>
        <w:tc>
          <w:tcPr>
            <w:tcW w:w="384" w:type="dxa"/>
            <w:vMerge w:val="restart"/>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必修</w:t>
            </w:r>
          </w:p>
          <w:p>
            <w:pPr>
              <w:widowControl/>
              <w:snapToGrid w:val="0"/>
              <w:ind w:firstLine="0"/>
              <w:jc w:val="center"/>
              <w:rPr>
                <w:rFonts w:hint="eastAsia" w:eastAsia="宋体" w:cs="宋体"/>
                <w:color w:val="000000"/>
                <w:sz w:val="21"/>
                <w:szCs w:val="21"/>
              </w:rPr>
            </w:pPr>
          </w:p>
        </w:tc>
        <w:tc>
          <w:tcPr>
            <w:tcW w:w="467" w:type="dxa"/>
            <w:vMerge w:val="restart"/>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中职阶段</w:t>
            </w:r>
          </w:p>
        </w:tc>
        <w:tc>
          <w:tcPr>
            <w:tcW w:w="245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567" w:type="dxa"/>
            <w:gridSpan w:val="2"/>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384" w:type="dxa"/>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567" w:type="dxa"/>
            <w:gridSpan w:val="2"/>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384" w:type="dxa"/>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567" w:type="dxa"/>
            <w:gridSpan w:val="2"/>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384" w:type="dxa"/>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567" w:type="dxa"/>
            <w:gridSpan w:val="2"/>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384" w:type="dxa"/>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widowControl/>
              <w:snapToGrid w:val="0"/>
              <w:ind w:firstLine="0"/>
              <w:rPr>
                <w:rFonts w:hint="eastAsia" w:ascii="宋体" w:hAnsi="宋体" w:eastAsia="宋体" w:cs="宋体"/>
                <w:color w:val="000000"/>
                <w:sz w:val="21"/>
                <w:szCs w:val="21"/>
              </w:rPr>
            </w:pPr>
            <w:r>
              <w:rPr>
                <w:rFonts w:hint="eastAsia" w:ascii="宋体" w:hAnsi="宋体" w:eastAsia="宋体" w:cs="宋体"/>
                <w:color w:val="000000"/>
                <w:sz w:val="21"/>
                <w:szCs w:val="21"/>
              </w:rPr>
              <w:t>小计（不少</w:t>
            </w:r>
            <w:r>
              <w:rPr>
                <w:rFonts w:hint="eastAsia" w:ascii="宋体" w:hAnsi="宋体" w:eastAsia="宋体" w:cs="宋体"/>
                <w:color w:val="000000" w:themeColor="text1"/>
                <w:sz w:val="21"/>
                <w:szCs w:val="21"/>
              </w:rPr>
              <w:t>于</w:t>
            </w:r>
            <w:r>
              <w:rPr>
                <w:rFonts w:hint="eastAsia" w:eastAsia="宋体" w:cs="宋体"/>
                <w:color w:val="000000" w:themeColor="text1"/>
                <w:sz w:val="21"/>
                <w:szCs w:val="21"/>
                <w:lang w:val="en-US" w:eastAsia="zh-CN"/>
              </w:rPr>
              <w:t>650</w:t>
            </w:r>
            <w:r>
              <w:rPr>
                <w:rFonts w:hint="eastAsia" w:ascii="宋体" w:hAnsi="宋体" w:eastAsia="宋体" w:cs="宋体"/>
                <w:color w:val="000000" w:themeColor="text1"/>
                <w:sz w:val="21"/>
                <w:szCs w:val="21"/>
              </w:rPr>
              <w:t>学时）</w:t>
            </w: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567" w:type="dxa"/>
            <w:gridSpan w:val="2"/>
            <w:vMerge w:val="restart"/>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专业（技能）方向</w:t>
            </w:r>
          </w:p>
        </w:tc>
        <w:tc>
          <w:tcPr>
            <w:tcW w:w="384" w:type="dxa"/>
            <w:vMerge w:val="restart"/>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必修</w:t>
            </w:r>
          </w:p>
        </w:tc>
        <w:tc>
          <w:tcPr>
            <w:tcW w:w="467" w:type="dxa"/>
            <w:vMerge w:val="restart"/>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中职阶段</w:t>
            </w:r>
          </w:p>
        </w:tc>
        <w:tc>
          <w:tcPr>
            <w:tcW w:w="245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567" w:type="dxa"/>
            <w:gridSpan w:val="2"/>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384"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567" w:type="dxa"/>
            <w:gridSpan w:val="2"/>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384"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567" w:type="dxa"/>
            <w:gridSpan w:val="2"/>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384"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widowControl/>
              <w:snapToGrid w:val="0"/>
              <w:ind w:firstLine="0"/>
              <w:rPr>
                <w:rFonts w:hint="eastAsia" w:ascii="宋体" w:hAnsi="宋体" w:eastAsia="宋体" w:cs="宋体"/>
                <w:color w:val="000000"/>
                <w:sz w:val="21"/>
                <w:szCs w:val="21"/>
              </w:rPr>
            </w:pPr>
            <w:r>
              <w:rPr>
                <w:rFonts w:hint="eastAsia" w:ascii="宋体" w:hAnsi="宋体" w:eastAsia="宋体" w:cs="宋体"/>
                <w:color w:val="000000"/>
                <w:sz w:val="21"/>
                <w:szCs w:val="21"/>
              </w:rPr>
              <w:t>小计</w:t>
            </w:r>
            <w:r>
              <w:rPr>
                <w:rFonts w:hint="eastAsia" w:ascii="宋体" w:hAnsi="宋体" w:eastAsia="宋体" w:cs="宋体"/>
                <w:color w:val="000000" w:themeColor="text1"/>
                <w:sz w:val="21"/>
                <w:szCs w:val="21"/>
              </w:rPr>
              <w:t>（不</w:t>
            </w:r>
            <w:r>
              <w:rPr>
                <w:rFonts w:hint="eastAsia" w:eastAsia="宋体" w:cs="宋体"/>
                <w:color w:val="000000" w:themeColor="text1"/>
                <w:sz w:val="21"/>
                <w:szCs w:val="21"/>
                <w:lang w:eastAsia="zh-CN"/>
              </w:rPr>
              <w:t>超过</w:t>
            </w:r>
            <w:r>
              <w:rPr>
                <w:rFonts w:hint="eastAsia" w:eastAsia="宋体" w:cs="宋体"/>
                <w:color w:val="000000" w:themeColor="text1"/>
                <w:sz w:val="21"/>
                <w:szCs w:val="21"/>
                <w:lang w:val="en-US" w:eastAsia="zh-CN"/>
              </w:rPr>
              <w:t>1000</w:t>
            </w:r>
            <w:r>
              <w:rPr>
                <w:rFonts w:hint="eastAsia" w:ascii="宋体" w:hAnsi="宋体" w:eastAsia="宋体" w:cs="宋体"/>
                <w:color w:val="000000" w:themeColor="text1"/>
                <w:sz w:val="21"/>
                <w:szCs w:val="21"/>
              </w:rPr>
              <w:t>学时）</w:t>
            </w: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567" w:type="dxa"/>
            <w:gridSpan w:val="2"/>
            <w:vMerge w:val="restart"/>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专业选修</w:t>
            </w:r>
          </w:p>
          <w:p>
            <w:pPr>
              <w:widowControl/>
              <w:snapToGrid w:val="0"/>
              <w:ind w:firstLine="0"/>
              <w:jc w:val="center"/>
              <w:rPr>
                <w:rFonts w:hint="eastAsia" w:eastAsia="宋体" w:cs="宋体"/>
                <w:color w:val="000000"/>
                <w:sz w:val="21"/>
                <w:szCs w:val="21"/>
              </w:rPr>
            </w:pPr>
          </w:p>
        </w:tc>
        <w:tc>
          <w:tcPr>
            <w:tcW w:w="384" w:type="dxa"/>
            <w:vMerge w:val="restart"/>
            <w:tcMar>
              <w:top w:w="0" w:type="dxa"/>
              <w:left w:w="108" w:type="dxa"/>
              <w:bottom w:w="0" w:type="dxa"/>
              <w:right w:w="108" w:type="dxa"/>
            </w:tcMar>
            <w:vAlign w:val="center"/>
          </w:tcPr>
          <w:p>
            <w:pPr>
              <w:snapToGrid w:val="0"/>
              <w:ind w:firstLine="0"/>
              <w:rPr>
                <w:rFonts w:hint="eastAsia" w:ascii="宋体" w:hAnsi="宋体" w:eastAsia="宋体" w:cs="宋体"/>
                <w:color w:val="000000"/>
                <w:sz w:val="21"/>
                <w:szCs w:val="21"/>
              </w:rPr>
            </w:pPr>
            <w:r>
              <w:rPr>
                <w:rFonts w:hint="eastAsia" w:ascii="宋体" w:hAnsi="宋体" w:eastAsia="宋体" w:cs="宋体"/>
                <w:color w:val="000000"/>
                <w:sz w:val="21"/>
                <w:szCs w:val="21"/>
              </w:rPr>
              <w:t>专业选修</w:t>
            </w:r>
          </w:p>
          <w:p>
            <w:pPr>
              <w:snapToGrid w:val="0"/>
              <w:ind w:firstLine="0"/>
              <w:rPr>
                <w:rFonts w:hint="eastAsia" w:eastAsia="宋体" w:cs="宋体"/>
                <w:color w:val="000000"/>
                <w:sz w:val="21"/>
                <w:szCs w:val="21"/>
              </w:rPr>
            </w:pPr>
          </w:p>
        </w:tc>
        <w:tc>
          <w:tcPr>
            <w:tcW w:w="467" w:type="dxa"/>
            <w:vMerge w:val="restart"/>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中职阶段</w:t>
            </w:r>
          </w:p>
        </w:tc>
        <w:tc>
          <w:tcPr>
            <w:tcW w:w="245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567" w:type="dxa"/>
            <w:gridSpan w:val="2"/>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384" w:type="dxa"/>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567" w:type="dxa"/>
            <w:gridSpan w:val="2"/>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384" w:type="dxa"/>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567" w:type="dxa"/>
            <w:gridSpan w:val="2"/>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384" w:type="dxa"/>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小计（不少于150学时，课程设置合计不少于300学时）</w:t>
            </w: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567" w:type="dxa"/>
            <w:gridSpan w:val="2"/>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384" w:type="dxa"/>
            <w:vMerge w:val="continue"/>
            <w:tcMar>
              <w:top w:w="0" w:type="dxa"/>
              <w:left w:w="108" w:type="dxa"/>
              <w:bottom w:w="0" w:type="dxa"/>
              <w:right w:w="108" w:type="dxa"/>
            </w:tcMar>
            <w:vAlign w:val="center"/>
          </w:tcPr>
          <w:p>
            <w:pPr>
              <w:widowControl/>
              <w:snapToGrid w:val="0"/>
              <w:ind w:firstLine="0"/>
              <w:jc w:val="center"/>
              <w:rPr>
                <w:rFonts w:hint="eastAsia"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widowControl/>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小</w:t>
            </w: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567" w:type="dxa"/>
            <w:gridSpan w:val="2"/>
            <w:vMerge w:val="restart"/>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综合实训</w:t>
            </w:r>
          </w:p>
        </w:tc>
        <w:tc>
          <w:tcPr>
            <w:tcW w:w="384" w:type="dxa"/>
            <w:vMerge w:val="restart"/>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必修</w:t>
            </w:r>
          </w:p>
        </w:tc>
        <w:tc>
          <w:tcPr>
            <w:tcW w:w="467" w:type="dxa"/>
            <w:vMerge w:val="restart"/>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中职阶段</w:t>
            </w:r>
          </w:p>
        </w:tc>
        <w:tc>
          <w:tcPr>
            <w:tcW w:w="245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567" w:type="dxa"/>
            <w:gridSpan w:val="2"/>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384"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567" w:type="dxa"/>
            <w:gridSpan w:val="2"/>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384"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567" w:type="dxa"/>
            <w:gridSpan w:val="2"/>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384"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467" w:type="dxa"/>
            <w:vMerge w:val="continue"/>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245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小计(不少于</w:t>
            </w:r>
            <w:r>
              <w:rPr>
                <w:rFonts w:hint="eastAsia" w:eastAsia="宋体" w:cs="宋体"/>
                <w:color w:val="000000"/>
                <w:sz w:val="21"/>
                <w:szCs w:val="21"/>
                <w:lang w:val="en-US" w:eastAsia="zh-CN"/>
              </w:rPr>
              <w:t>96</w:t>
            </w:r>
            <w:r>
              <w:rPr>
                <w:rFonts w:hint="eastAsia" w:ascii="宋体" w:hAnsi="宋体" w:eastAsia="宋体" w:cs="宋体"/>
                <w:color w:val="000000"/>
                <w:sz w:val="21"/>
                <w:szCs w:val="21"/>
              </w:rPr>
              <w:t>学时）</w:t>
            </w: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3870" w:type="dxa"/>
            <w:gridSpan w:val="5"/>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专业课程合计（不少于1900学时）</w:t>
            </w: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3870" w:type="dxa"/>
            <w:gridSpan w:val="5"/>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课内教学总学时</w:t>
            </w:r>
          </w:p>
          <w:p>
            <w:pPr>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（中职阶段不少于3000学时）</w:t>
            </w:r>
          </w:p>
        </w:tc>
        <w:tc>
          <w:tcPr>
            <w:tcW w:w="4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73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2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1"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2"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87"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53"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44"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578" w:type="dxa"/>
            <w:tcMar>
              <w:top w:w="0" w:type="dxa"/>
              <w:left w:w="108" w:type="dxa"/>
              <w:bottom w:w="0" w:type="dxa"/>
              <w:right w:w="108" w:type="dxa"/>
            </w:tcMar>
            <w:vAlign w:val="center"/>
          </w:tcPr>
          <w:p>
            <w:pPr>
              <w:widowControl/>
              <w:snapToGrid w:val="0"/>
              <w:ind w:firstLine="0"/>
              <w:jc w:val="center"/>
              <w:rPr>
                <w:rFonts w:hint="eastAsia" w:ascii="宋体" w:hAnsi="宋体" w:eastAsia="宋体" w:cs="宋体"/>
                <w:color w:val="000000"/>
                <w:sz w:val="21"/>
                <w:szCs w:val="21"/>
              </w:rPr>
            </w:pPr>
          </w:p>
        </w:tc>
        <w:tc>
          <w:tcPr>
            <w:tcW w:w="622"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624"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555"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c>
          <w:tcPr>
            <w:tcW w:w="593" w:type="dxa"/>
            <w:tcMar>
              <w:top w:w="0" w:type="dxa"/>
              <w:left w:w="108" w:type="dxa"/>
              <w:bottom w:w="0" w:type="dxa"/>
              <w:right w:w="108" w:type="dxa"/>
            </w:tcMar>
            <w:vAlign w:val="center"/>
          </w:tcPr>
          <w:p>
            <w:pPr>
              <w:snapToGrid w:val="0"/>
              <w:ind w:firstLine="0"/>
              <w:jc w:val="center"/>
              <w:rPr>
                <w:rFonts w:hint="eastAsia" w:ascii="宋体" w:hAnsi="宋体" w:eastAsia="宋体" w:cs="宋体"/>
                <w:color w:val="000000"/>
                <w:sz w:val="21"/>
                <w:szCs w:val="21"/>
              </w:rPr>
            </w:pPr>
          </w:p>
        </w:tc>
      </w:tr>
      <w:bookmarkEnd w:id="1"/>
    </w:tbl>
    <w:p>
      <w:pPr>
        <w:autoSpaceDE w:val="0"/>
        <w:autoSpaceDN w:val="0"/>
        <w:snapToGrid w:val="0"/>
        <w:ind w:firstLine="0"/>
        <w:jc w:val="left"/>
        <w:rPr>
          <w:rFonts w:hint="eastAsia" w:ascii="宋体" w:hAnsi="宋体" w:eastAsia="宋体" w:cs="宋体"/>
          <w:b/>
          <w:color w:val="000000"/>
          <w:sz w:val="21"/>
          <w:szCs w:val="21"/>
          <w:u w:val="single"/>
          <w:shd w:val="pct10" w:color="000000" w:fill="FFFFFF"/>
        </w:rPr>
      </w:pPr>
    </w:p>
    <w:p>
      <w:pPr>
        <w:widowControl/>
        <w:snapToGrid w:val="0"/>
        <w:ind w:left="482" w:firstLine="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2.高职阶段教学进程表</w:t>
      </w:r>
    </w:p>
    <w:tbl>
      <w:tblPr>
        <w:tblStyle w:val="9"/>
        <w:tblW w:w="0" w:type="auto"/>
        <w:tblInd w:w="0" w:type="dxa"/>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autofit"/>
        <w:tblCellMar>
          <w:top w:w="0" w:type="dxa"/>
          <w:left w:w="108" w:type="dxa"/>
          <w:bottom w:w="0" w:type="dxa"/>
          <w:right w:w="108" w:type="dxa"/>
        </w:tblCellMar>
      </w:tblPr>
      <w:tblGrid>
        <w:gridCol w:w="427"/>
        <w:gridCol w:w="427"/>
        <w:gridCol w:w="427"/>
        <w:gridCol w:w="5154"/>
        <w:gridCol w:w="694"/>
        <w:gridCol w:w="746"/>
        <w:gridCol w:w="908"/>
        <w:gridCol w:w="792"/>
        <w:gridCol w:w="1060"/>
        <w:gridCol w:w="531"/>
        <w:gridCol w:w="691"/>
        <w:gridCol w:w="817"/>
        <w:gridCol w:w="427"/>
        <w:gridCol w:w="428"/>
        <w:gridCol w:w="689"/>
      </w:tblGrid>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cantSplit/>
          <w:tblHeader/>
        </w:trPr>
        <w:tc>
          <w:tcPr>
            <w:tcW w:w="0" w:type="auto"/>
            <w:vMerge w:val="restart"/>
            <w:tcBorders>
              <w:top w:val="single" w:color="auto" w:sz="12" w:space="0"/>
              <w:left w:val="single" w:color="auto" w:sz="12"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课程分类</w:t>
            </w:r>
          </w:p>
        </w:tc>
        <w:tc>
          <w:tcPr>
            <w:tcW w:w="0" w:type="auto"/>
            <w:vMerge w:val="restart"/>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课程属性</w:t>
            </w:r>
          </w:p>
        </w:tc>
        <w:tc>
          <w:tcPr>
            <w:tcW w:w="0" w:type="auto"/>
            <w:vMerge w:val="restart"/>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教育阶段</w:t>
            </w:r>
          </w:p>
        </w:tc>
        <w:tc>
          <w:tcPr>
            <w:tcW w:w="5154" w:type="dxa"/>
            <w:vMerge w:val="restart"/>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课程名称</w:t>
            </w:r>
          </w:p>
        </w:tc>
        <w:tc>
          <w:tcPr>
            <w:tcW w:w="694" w:type="dxa"/>
            <w:vMerge w:val="restart"/>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学分</w:t>
            </w:r>
          </w:p>
        </w:tc>
        <w:tc>
          <w:tcPr>
            <w:tcW w:w="3506" w:type="dxa"/>
            <w:gridSpan w:val="4"/>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教学时数</w:t>
            </w:r>
          </w:p>
        </w:tc>
        <w:tc>
          <w:tcPr>
            <w:tcW w:w="1222" w:type="dxa"/>
            <w:gridSpan w:val="2"/>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考核方式</w:t>
            </w:r>
          </w:p>
        </w:tc>
        <w:tc>
          <w:tcPr>
            <w:tcW w:w="2361" w:type="dxa"/>
            <w:gridSpan w:val="4"/>
            <w:tcBorders>
              <w:top w:val="single" w:color="auto" w:sz="12" w:space="0"/>
              <w:left w:val="single" w:color="auto" w:sz="4" w:space="0"/>
              <w:bottom w:val="single" w:color="auto" w:sz="4" w:space="0"/>
              <w:right w:val="single" w:color="auto" w:sz="12"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学期周学时数</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cantSplit/>
          <w:tblHeader/>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p>
        </w:tc>
        <w:tc>
          <w:tcPr>
            <w:tcW w:w="515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p>
        </w:tc>
        <w:tc>
          <w:tcPr>
            <w:tcW w:w="69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p>
        </w:tc>
        <w:tc>
          <w:tcPr>
            <w:tcW w:w="74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课程总学时</w:t>
            </w:r>
          </w:p>
        </w:tc>
        <w:tc>
          <w:tcPr>
            <w:tcW w:w="908"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理论教学</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理实一体教学</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实践教学</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考试学期</w:t>
            </w:r>
          </w:p>
        </w:tc>
        <w:tc>
          <w:tcPr>
            <w:tcW w:w="69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考查学期</w:t>
            </w: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七</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八</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九</w:t>
            </w: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十</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cantSplit/>
          <w:tblHeader/>
        </w:trPr>
        <w:tc>
          <w:tcPr>
            <w:tcW w:w="0" w:type="auto"/>
            <w:vMerge w:val="continue"/>
            <w:tcBorders>
              <w:top w:val="single" w:color="auto" w:sz="4" w:space="0"/>
              <w:left w:val="single" w:color="auto" w:sz="12" w:space="0"/>
              <w:bottom w:val="single" w:color="auto" w:sz="12"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p>
        </w:tc>
        <w:tc>
          <w:tcPr>
            <w:tcW w:w="0" w:type="auto"/>
            <w:vMerge w:val="continue"/>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p>
        </w:tc>
        <w:tc>
          <w:tcPr>
            <w:tcW w:w="0" w:type="auto"/>
            <w:vMerge w:val="continue"/>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p>
        </w:tc>
        <w:tc>
          <w:tcPr>
            <w:tcW w:w="5154" w:type="dxa"/>
            <w:vMerge w:val="continue"/>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p>
        </w:tc>
        <w:tc>
          <w:tcPr>
            <w:tcW w:w="694" w:type="dxa"/>
            <w:vMerge w:val="continue"/>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p>
        </w:tc>
        <w:tc>
          <w:tcPr>
            <w:tcW w:w="746" w:type="dxa"/>
            <w:vMerge w:val="continue"/>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p>
        </w:tc>
        <w:tc>
          <w:tcPr>
            <w:tcW w:w="908" w:type="dxa"/>
            <w:vMerge w:val="continue"/>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p>
        </w:tc>
        <w:tc>
          <w:tcPr>
            <w:tcW w:w="0" w:type="auto"/>
            <w:vMerge w:val="continue"/>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p>
        </w:tc>
        <w:tc>
          <w:tcPr>
            <w:tcW w:w="0" w:type="auto"/>
            <w:vMerge w:val="continue"/>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p>
        </w:tc>
        <w:tc>
          <w:tcPr>
            <w:tcW w:w="0" w:type="auto"/>
            <w:vMerge w:val="continue"/>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p>
        </w:tc>
        <w:tc>
          <w:tcPr>
            <w:tcW w:w="691" w:type="dxa"/>
            <w:vMerge w:val="continue"/>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p>
        </w:tc>
        <w:tc>
          <w:tcPr>
            <w:tcW w:w="817"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1</w:t>
            </w:r>
            <w:r>
              <w:rPr>
                <w:rFonts w:hint="eastAsia" w:eastAsia="宋体" w:cs="宋体"/>
                <w:b/>
                <w:color w:val="000000"/>
                <w:sz w:val="21"/>
                <w:szCs w:val="21"/>
                <w:lang w:eastAsia="zh-CN"/>
              </w:rPr>
              <w:t>4</w:t>
            </w:r>
            <w:r>
              <w:rPr>
                <w:rFonts w:hint="eastAsia" w:ascii="宋体" w:hAnsi="宋体" w:eastAsia="宋体" w:cs="宋体"/>
                <w:b/>
                <w:color w:val="000000"/>
                <w:sz w:val="21"/>
                <w:szCs w:val="21"/>
              </w:rPr>
              <w:t>+</w:t>
            </w:r>
            <w:r>
              <w:rPr>
                <w:rFonts w:hint="eastAsia" w:eastAsia="宋体" w:cs="宋体"/>
                <w:b/>
                <w:color w:val="000000"/>
                <w:sz w:val="21"/>
                <w:szCs w:val="21"/>
                <w:lang w:val="en-US" w:eastAsia="zh-CN"/>
              </w:rPr>
              <w:t>3</w:t>
            </w:r>
            <w:r>
              <w:rPr>
                <w:rFonts w:hint="eastAsia" w:ascii="宋体" w:hAnsi="宋体" w:eastAsia="宋体" w:cs="宋体"/>
                <w:b/>
                <w:color w:val="000000"/>
                <w:sz w:val="21"/>
                <w:szCs w:val="21"/>
                <w:vertAlign w:val="superscript"/>
              </w:rPr>
              <w:footnoteReference w:id="0"/>
            </w:r>
          </w:p>
        </w:tc>
        <w:tc>
          <w:tcPr>
            <w:tcW w:w="0" w:type="auto"/>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p>
        </w:tc>
        <w:tc>
          <w:tcPr>
            <w:tcW w:w="0" w:type="auto"/>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p>
        </w:tc>
        <w:tc>
          <w:tcPr>
            <w:tcW w:w="0" w:type="auto"/>
            <w:tcBorders>
              <w:top w:val="single" w:color="auto" w:sz="4" w:space="0"/>
              <w:left w:val="single" w:color="auto" w:sz="4" w:space="0"/>
              <w:bottom w:val="single" w:color="auto" w:sz="12" w:space="0"/>
              <w:right w:val="single" w:color="auto" w:sz="12"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16</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77" w:hRule="atLeast"/>
        </w:trPr>
        <w:tc>
          <w:tcPr>
            <w:tcW w:w="0" w:type="auto"/>
            <w:vMerge w:val="restart"/>
            <w:tcBorders>
              <w:top w:val="single" w:color="auto" w:sz="12"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r>
              <w:rPr>
                <w:rFonts w:hint="eastAsia" w:ascii="宋体" w:hAnsi="宋体" w:eastAsia="宋体" w:cs="宋体"/>
                <w:color w:val="000000"/>
                <w:sz w:val="21"/>
                <w:szCs w:val="21"/>
              </w:rPr>
              <w:t>思想政治理论</w:t>
            </w:r>
          </w:p>
        </w:tc>
        <w:tc>
          <w:tcPr>
            <w:tcW w:w="0" w:type="auto"/>
            <w:vMerge w:val="restart"/>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r>
              <w:rPr>
                <w:rFonts w:hint="eastAsia" w:ascii="宋体" w:hAnsi="宋体" w:eastAsia="宋体" w:cs="宋体"/>
                <w:color w:val="000000"/>
                <w:sz w:val="21"/>
                <w:szCs w:val="21"/>
              </w:rPr>
              <w:t>必修</w:t>
            </w:r>
          </w:p>
        </w:tc>
        <w:tc>
          <w:tcPr>
            <w:tcW w:w="0" w:type="auto"/>
            <w:vMerge w:val="restart"/>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高职阶段</w:t>
            </w:r>
          </w:p>
          <w:p>
            <w:pPr>
              <w:widowControl/>
              <w:adjustRightInd w:val="0"/>
              <w:snapToGrid w:val="0"/>
              <w:ind w:firstLine="0"/>
              <w:jc w:val="center"/>
              <w:rPr>
                <w:rFonts w:hint="eastAsia" w:eastAsia="宋体" w:cs="宋体"/>
                <w:color w:val="000000"/>
                <w:sz w:val="21"/>
                <w:szCs w:val="21"/>
              </w:rPr>
            </w:pPr>
          </w:p>
        </w:tc>
        <w:tc>
          <w:tcPr>
            <w:tcW w:w="5154"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毛泽东思想和中国特色社会主义理论体系概论</w:t>
            </w:r>
          </w:p>
        </w:tc>
        <w:tc>
          <w:tcPr>
            <w:tcW w:w="694"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w:t>
            </w:r>
          </w:p>
        </w:tc>
        <w:tc>
          <w:tcPr>
            <w:tcW w:w="746"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32</w:t>
            </w:r>
          </w:p>
        </w:tc>
        <w:tc>
          <w:tcPr>
            <w:tcW w:w="908"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28</w:t>
            </w:r>
          </w:p>
        </w:tc>
        <w:tc>
          <w:tcPr>
            <w:tcW w:w="0" w:type="auto"/>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p>
        </w:tc>
        <w:tc>
          <w:tcPr>
            <w:tcW w:w="0" w:type="auto"/>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shd w:val="pct10" w:color="000000" w:fill="FFFFFF"/>
              </w:rPr>
            </w:pPr>
            <w:r>
              <w:rPr>
                <w:rFonts w:hint="eastAsia" w:ascii="宋体" w:hAnsi="宋体" w:eastAsia="宋体" w:cs="宋体"/>
                <w:color w:val="000000" w:themeColor="text1"/>
                <w:sz w:val="21"/>
                <w:szCs w:val="21"/>
                <w:shd w:val="pct10" w:color="000000" w:fill="FFFFFF"/>
              </w:rPr>
              <w:t>4</w:t>
            </w:r>
          </w:p>
        </w:tc>
        <w:tc>
          <w:tcPr>
            <w:tcW w:w="0" w:type="auto"/>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p>
        </w:tc>
        <w:tc>
          <w:tcPr>
            <w:tcW w:w="691"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8</w:t>
            </w:r>
          </w:p>
        </w:tc>
        <w:tc>
          <w:tcPr>
            <w:tcW w:w="817"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p>
        </w:tc>
        <w:tc>
          <w:tcPr>
            <w:tcW w:w="0" w:type="auto"/>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w:t>
            </w:r>
          </w:p>
        </w:tc>
        <w:tc>
          <w:tcPr>
            <w:tcW w:w="0" w:type="auto"/>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12"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7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思想道德与法治</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w:t>
            </w: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210" w:firstLineChars="1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48</w:t>
            </w: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42</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shd w:val="pct10" w:color="000000" w:fill="FFFFFF"/>
                <w:lang w:val="en-US" w:eastAsia="zh-CN"/>
              </w:rPr>
            </w:pPr>
            <w:r>
              <w:rPr>
                <w:rFonts w:hint="eastAsia" w:eastAsia="宋体" w:cs="宋体"/>
                <w:color w:val="000000" w:themeColor="text1"/>
                <w:sz w:val="21"/>
                <w:szCs w:val="21"/>
                <w:shd w:val="pct10" w:color="000000" w:fill="FFFFFF"/>
                <w:lang w:val="en-US" w:eastAsia="zh-CN"/>
              </w:rPr>
              <w:t>6</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w:t>
            </w:r>
          </w:p>
          <w:p>
            <w:pPr>
              <w:widowControl/>
              <w:adjustRightInd w:val="0"/>
              <w:snapToGrid w:val="0"/>
              <w:ind w:firstLine="0"/>
              <w:rPr>
                <w:rFonts w:hint="eastAsia" w:ascii="宋体" w:hAnsi="宋体" w:eastAsia="宋体" w:cs="宋体"/>
                <w:color w:val="000000" w:themeColor="text1"/>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w:t>
            </w:r>
          </w:p>
        </w:tc>
        <w:tc>
          <w:tcPr>
            <w:tcW w:w="4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7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习近平新时代中国特色社会主义思想概论</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w:t>
            </w: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48</w:t>
            </w: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42</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lang w:val="en-US" w:eastAsia="zh-CN"/>
              </w:rPr>
            </w:pPr>
            <w:r>
              <w:rPr>
                <w:rFonts w:hint="eastAsia" w:eastAsia="宋体" w:cs="宋体"/>
                <w:color w:val="000000" w:themeColor="text1"/>
                <w:sz w:val="21"/>
                <w:szCs w:val="21"/>
                <w:lang w:val="en-US" w:eastAsia="zh-CN"/>
              </w:rPr>
              <w:t>6</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w:t>
            </w:r>
            <w:r>
              <w:rPr>
                <w:rFonts w:hint="eastAsia" w:eastAsia="宋体" w:cs="宋体"/>
                <w:color w:val="000000" w:themeColor="text1"/>
                <w:sz w:val="21"/>
                <w:szCs w:val="21"/>
                <w:lang w:val="en-US" w:eastAsia="zh-CN"/>
              </w:rPr>
              <w:t>|</w:t>
            </w:r>
            <w:r>
              <w:rPr>
                <w:rFonts w:hint="eastAsia" w:ascii="宋体" w:hAnsi="宋体" w:eastAsia="宋体" w:cs="宋体"/>
                <w:color w:val="000000" w:themeColor="text1"/>
                <w:sz w:val="21"/>
                <w:szCs w:val="21"/>
              </w:rPr>
              <w:t>8</w:t>
            </w:r>
            <w:r>
              <w:rPr>
                <w:rFonts w:hint="eastAsia" w:ascii="宋体" w:hAnsi="宋体" w:eastAsia="宋体" w:cs="宋体"/>
                <w:color w:val="000000" w:themeColor="text1"/>
                <w:sz w:val="21"/>
                <w:szCs w:val="21"/>
                <w:vertAlign w:val="superscript"/>
              </w:rPr>
              <w:t>4</w:t>
            </w:r>
          </w:p>
        </w:tc>
        <w:tc>
          <w:tcPr>
            <w:tcW w:w="124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630" w:firstLineChars="300"/>
              <w:jc w:val="both"/>
              <w:rPr>
                <w:rFonts w:hint="eastAsia" w:ascii="宋体" w:hAnsi="宋体" w:eastAsia="宋体" w:cs="宋体"/>
                <w:color w:val="000000" w:themeColor="text1"/>
                <w:sz w:val="21"/>
                <w:szCs w:val="21"/>
              </w:rPr>
            </w:pPr>
          </w:p>
          <w:p>
            <w:pPr>
              <w:widowControl/>
              <w:adjustRightInd w:val="0"/>
              <w:snapToGrid w:val="0"/>
              <w:ind w:firstLine="420" w:firstLineChars="200"/>
              <w:jc w:val="both"/>
              <w:rPr>
                <w:rFonts w:hint="eastAsia" w:ascii="宋体" w:hAnsi="宋体" w:eastAsia="宋体" w:cs="宋体"/>
                <w:color w:val="000000" w:themeColor="text1"/>
                <w:sz w:val="21"/>
                <w:szCs w:val="21"/>
                <w:vertAlign w:val="superscript"/>
              </w:rPr>
            </w:pPr>
            <w:r>
              <w:rPr>
                <w:rFonts w:hint="eastAsia" w:ascii="宋体" w:hAnsi="宋体" w:eastAsia="宋体" w:cs="宋体"/>
                <w:color w:val="000000" w:themeColor="text1"/>
                <w:sz w:val="21"/>
                <w:szCs w:val="21"/>
              </w:rPr>
              <w:t>3</w:t>
            </w:r>
          </w:p>
          <w:p>
            <w:pPr>
              <w:widowControl/>
              <w:adjustRightInd w:val="0"/>
              <w:snapToGrid w:val="0"/>
              <w:ind w:firstLine="0"/>
              <w:jc w:val="center"/>
              <w:rPr>
                <w:rFonts w:hint="eastAsia" w:ascii="宋体" w:hAnsi="宋体" w:eastAsia="宋体" w:cs="宋体"/>
                <w:color w:val="000000" w:themeColor="text1"/>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7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形势与政策</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32</w:t>
            </w: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shd w:val="pct10" w:color="000000" w:fill="FFFFFF"/>
              </w:rPr>
            </w:pPr>
            <w:r>
              <w:rPr>
                <w:rFonts w:hint="eastAsia" w:ascii="宋体" w:hAnsi="宋体" w:eastAsia="宋体" w:cs="宋体"/>
                <w:color w:val="000000"/>
                <w:sz w:val="21"/>
                <w:szCs w:val="21"/>
              </w:rPr>
              <w:t>32</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7-10</w:t>
            </w: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02"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eastAsia="宋体" w:cs="宋体"/>
                <w:color w:val="000000" w:themeColor="text1"/>
                <w:sz w:val="21"/>
                <w:szCs w:val="21"/>
              </w:rPr>
            </w:pPr>
            <w:r>
              <w:rPr>
                <w:rFonts w:hint="eastAsia" w:ascii="宋体" w:eastAsia="宋体" w:cs="宋体"/>
                <w:color w:val="000000" w:themeColor="text1"/>
                <w:sz w:val="21"/>
                <w:szCs w:val="21"/>
              </w:rPr>
              <w:t>小计</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9</w:t>
            </w: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160</w:t>
            </w: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lang w:val="en-US" w:eastAsia="zh-CN"/>
              </w:rPr>
            </w:pPr>
            <w:r>
              <w:rPr>
                <w:rFonts w:hint="eastAsia" w:ascii="宋体" w:hAnsi="宋体" w:eastAsia="宋体" w:cs="宋体"/>
                <w:color w:val="000000" w:themeColor="text1"/>
                <w:sz w:val="21"/>
              </w:rPr>
              <w:t>14</w:t>
            </w:r>
            <w:r>
              <w:rPr>
                <w:rFonts w:hint="eastAsia" w:eastAsia="宋体" w:cs="宋体"/>
                <w:color w:val="000000" w:themeColor="text1"/>
                <w:sz w:val="21"/>
                <w:lang w:val="en-US" w:eastAsia="zh-CN"/>
              </w:rPr>
              <w:t>4</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lang w:eastAsia="zh-CN"/>
              </w:rPr>
            </w:pPr>
            <w:r>
              <w:rPr>
                <w:rFonts w:hint="eastAsia" w:ascii="宋体" w:hAnsi="宋体" w:eastAsia="宋体" w:cs="宋体"/>
                <w:color w:val="000000" w:themeColor="text1"/>
                <w:sz w:val="21"/>
              </w:rPr>
              <w:t>1</w:t>
            </w:r>
            <w:r>
              <w:rPr>
                <w:rFonts w:hint="eastAsia" w:eastAsia="宋体" w:cs="宋体"/>
                <w:color w:val="000000" w:themeColor="text1"/>
                <w:sz w:val="21"/>
                <w:lang w:val="en-US" w:eastAsia="zh-CN"/>
              </w:rPr>
              <w:t>6</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trPr>
        <w:tc>
          <w:tcPr>
            <w:tcW w:w="0" w:type="auto"/>
            <w:vMerge w:val="restart"/>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jc w:val="center"/>
              <w:rPr>
                <w:rFonts w:hint="eastAsia" w:eastAsia="宋体" w:cs="宋体"/>
                <w:color w:val="000000"/>
                <w:sz w:val="21"/>
                <w:szCs w:val="21"/>
              </w:rPr>
            </w:pPr>
            <w:r>
              <w:rPr>
                <w:rFonts w:hint="eastAsia" w:ascii="宋体" w:hAnsi="宋体" w:eastAsia="宋体" w:cs="宋体"/>
                <w:color w:val="000000"/>
                <w:sz w:val="21"/>
                <w:szCs w:val="21"/>
              </w:rPr>
              <w:t>通识教育</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jc w:val="center"/>
              <w:rPr>
                <w:rFonts w:hint="eastAsia" w:eastAsia="宋体" w:cs="宋体"/>
                <w:color w:val="000000"/>
                <w:sz w:val="21"/>
                <w:szCs w:val="21"/>
              </w:rPr>
            </w:pPr>
            <w:r>
              <w:rPr>
                <w:rFonts w:hint="eastAsia" w:ascii="宋体" w:hAnsi="宋体" w:eastAsia="宋体" w:cs="宋体"/>
                <w:color w:val="000000"/>
                <w:sz w:val="21"/>
                <w:szCs w:val="21"/>
              </w:rPr>
              <w:t>必修</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高职阶段</w:t>
            </w:r>
          </w:p>
          <w:p>
            <w:pPr>
              <w:widowControl/>
              <w:adjustRightInd w:val="0"/>
              <w:snapToGrid w:val="0"/>
              <w:ind w:firstLine="0"/>
              <w:jc w:val="center"/>
              <w:rPr>
                <w:rFonts w:hint="eastAsia"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大学生心理健康教育</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1</w:t>
            </w: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default" w:ascii="宋体" w:hAnsi="宋体" w:eastAsia="宋体" w:cs="宋体"/>
                <w:color w:val="000000"/>
                <w:sz w:val="21"/>
                <w:lang w:val="en-US" w:eastAsia="zh-CN"/>
              </w:rPr>
            </w:pPr>
            <w:r>
              <w:rPr>
                <w:rFonts w:hint="eastAsia" w:eastAsia="宋体" w:cs="宋体"/>
                <w:color w:val="000000"/>
                <w:sz w:val="21"/>
                <w:lang w:val="en-US" w:eastAsia="zh-CN"/>
              </w:rPr>
              <w:t>10</w:t>
            </w: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lang w:eastAsia="zh-CN"/>
              </w:rPr>
            </w:pPr>
            <w:r>
              <w:rPr>
                <w:rFonts w:hint="eastAsia" w:eastAsia="宋体" w:cs="宋体"/>
                <w:color w:val="000000"/>
                <w:sz w:val="21"/>
                <w:lang w:val="en-US" w:eastAsia="zh-CN"/>
              </w:rPr>
              <w:t>6</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lang w:val="en-US" w:eastAsia="zh-CN"/>
              </w:rPr>
            </w:pPr>
            <w:r>
              <w:rPr>
                <w:rFonts w:hint="eastAsia" w:eastAsia="宋体" w:cs="宋体"/>
                <w:color w:val="000000"/>
                <w:sz w:val="21"/>
                <w:lang w:val="en-US" w:eastAsia="zh-CN"/>
              </w:rPr>
              <w:t>4</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7</w:t>
            </w: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eastAsia="宋体" w:cs="宋体"/>
                <w:color w:val="000000"/>
                <w:sz w:val="21"/>
              </w:rPr>
            </w:pPr>
            <w:r>
              <w:rPr>
                <w:rFonts w:hint="eastAsia" w:ascii="宋体" w:hAnsi="宋体" w:eastAsia="宋体" w:cs="宋体"/>
                <w:color w:val="000000"/>
                <w:sz w:val="21"/>
                <w:szCs w:val="22"/>
              </w:rPr>
              <w:t>劳动教育（理论）</w:t>
            </w:r>
          </w:p>
        </w:tc>
        <w:tc>
          <w:tcPr>
            <w:tcW w:w="69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1</w:t>
            </w:r>
          </w:p>
        </w:tc>
        <w:tc>
          <w:tcPr>
            <w:tcW w:w="74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16</w:t>
            </w: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8</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7</w:t>
            </w: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eastAsia="宋体" w:cs="宋体"/>
                <w:color w:val="000000"/>
                <w:sz w:val="21"/>
              </w:rPr>
            </w:pPr>
            <w:r>
              <w:rPr>
                <w:rFonts w:hint="eastAsia" w:ascii="宋体" w:hAnsi="宋体" w:eastAsia="宋体" w:cs="宋体"/>
                <w:color w:val="000000"/>
                <w:sz w:val="21"/>
                <w:szCs w:val="22"/>
              </w:rPr>
              <w:t>劳动教育（实践）</w:t>
            </w:r>
          </w:p>
        </w:tc>
        <w:tc>
          <w:tcPr>
            <w:tcW w:w="69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p>
        </w:tc>
        <w:tc>
          <w:tcPr>
            <w:tcW w:w="74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8</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7-10</w:t>
            </w: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w:t>
            </w: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军事理论</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2</w:t>
            </w: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36</w:t>
            </w: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36</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8</w:t>
            </w: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r>
              <w:rPr>
                <w:rFonts w:hint="eastAsia" w:ascii="宋体" w:hAnsi="宋体" w:eastAsia="宋体" w:cs="宋体"/>
                <w:color w:val="000000"/>
                <w:sz w:val="21"/>
              </w:rPr>
              <w:t>4</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15"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eastAsia="宋体" w:cs="宋体"/>
                <w:color w:val="000000" w:themeColor="text1"/>
                <w:sz w:val="21"/>
              </w:rPr>
            </w:pPr>
            <w:r>
              <w:rPr>
                <w:rFonts w:hint="eastAsia" w:ascii="宋体" w:hAnsi="宋体" w:eastAsia="宋体" w:cs="宋体"/>
                <w:color w:val="000000" w:themeColor="text1"/>
                <w:sz w:val="21"/>
              </w:rPr>
              <w:t>军事技能</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2</w:t>
            </w: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112</w:t>
            </w: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*112</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3周</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2100" w:firstLineChars="1000"/>
              <w:jc w:val="both"/>
              <w:rPr>
                <w:rFonts w:hint="eastAsia" w:ascii="宋体" w:hAnsi="宋体" w:eastAsia="宋体" w:cs="宋体"/>
                <w:color w:val="000000" w:themeColor="text1"/>
                <w:sz w:val="21"/>
              </w:rPr>
            </w:pPr>
            <w:r>
              <w:rPr>
                <w:rFonts w:hint="eastAsia" w:ascii="宋体" w:hAnsi="宋体" w:eastAsia="宋体" w:cs="宋体"/>
                <w:color w:val="000000" w:themeColor="text1"/>
                <w:sz w:val="21"/>
              </w:rPr>
              <w:t>职业礼仪</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2</w:t>
            </w: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32</w:t>
            </w: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28</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4</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8｜9</w:t>
            </w: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85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2</w:t>
            </w: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eastAsia="宋体" w:cs="宋体"/>
                <w:color w:val="000000" w:themeColor="text1"/>
                <w:sz w:val="21"/>
              </w:rPr>
            </w:pPr>
            <w:r>
              <w:rPr>
                <w:rFonts w:hint="eastAsia" w:ascii="宋体" w:hAnsi="宋体" w:eastAsia="宋体" w:cs="宋体"/>
                <w:color w:val="000000" w:themeColor="text1"/>
                <w:sz w:val="21"/>
              </w:rPr>
              <w:t>创新基础</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1</w:t>
            </w: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24</w:t>
            </w: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24</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8</w:t>
            </w: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u w:val="single"/>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2100" w:firstLineChars="1000"/>
              <w:jc w:val="both"/>
              <w:rPr>
                <w:rFonts w:hint="eastAsia" w:ascii="宋体" w:hAnsi="宋体" w:eastAsia="宋体" w:cs="宋体"/>
                <w:color w:val="000000" w:themeColor="text1"/>
                <w:sz w:val="21"/>
              </w:rPr>
            </w:pPr>
            <w:r>
              <w:rPr>
                <w:rFonts w:hint="eastAsia" w:ascii="宋体" w:hAnsi="宋体" w:eastAsia="宋体" w:cs="宋体"/>
                <w:color w:val="000000" w:themeColor="text1"/>
                <w:sz w:val="21"/>
              </w:rPr>
              <w:t>安全教育</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1</w:t>
            </w: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36</w:t>
            </w: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24</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hd w:val="pct10" w:color="000000" w:fill="FFFFFF"/>
              </w:rPr>
            </w:pPr>
            <w:r>
              <w:rPr>
                <w:rFonts w:hint="eastAsia" w:ascii="宋体" w:hAnsi="宋体" w:eastAsia="宋体" w:cs="宋体"/>
                <w:color w:val="000000" w:themeColor="text1"/>
                <w:sz w:val="21"/>
              </w:rPr>
              <w:t>*</w:t>
            </w:r>
            <w:r>
              <w:rPr>
                <w:rFonts w:hint="eastAsia" w:ascii="宋体" w:hAnsi="宋体" w:eastAsia="宋体" w:cs="宋体"/>
                <w:color w:val="000000" w:themeColor="text1"/>
                <w:sz w:val="21"/>
                <w:shd w:val="pct10" w:color="000000" w:fill="FFFFFF"/>
              </w:rPr>
              <w:t>12</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7-9</w:t>
            </w: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w:t>
            </w: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体育</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2</w:t>
            </w: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b/>
                <w:color w:val="000000" w:themeColor="text1"/>
                <w:sz w:val="21"/>
              </w:rPr>
            </w:pPr>
            <w:r>
              <w:rPr>
                <w:rFonts w:hint="eastAsia" w:ascii="宋体" w:hAnsi="宋体" w:eastAsia="宋体" w:cs="宋体"/>
                <w:b/>
                <w:color w:val="000000" w:themeColor="text1"/>
                <w:sz w:val="21"/>
              </w:rPr>
              <w:t>72</w:t>
            </w: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b/>
                <w:color w:val="000000" w:themeColor="text1"/>
                <w:sz w:val="21"/>
              </w:rPr>
            </w:pPr>
            <w:r>
              <w:rPr>
                <w:rFonts w:hint="eastAsia" w:ascii="宋体" w:hAnsi="宋体" w:eastAsia="宋体" w:cs="宋体"/>
                <w:b/>
                <w:color w:val="000000" w:themeColor="text1"/>
                <w:sz w:val="21"/>
              </w:rPr>
              <w:t>72</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8-9</w:t>
            </w: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2</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2</w:t>
            </w: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职业外语(英语）</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3</w:t>
            </w: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b/>
                <w:color w:val="000000" w:themeColor="text1"/>
                <w:sz w:val="21"/>
                <w:lang w:val="en-US" w:eastAsia="zh-CN"/>
              </w:rPr>
            </w:pPr>
            <w:r>
              <w:rPr>
                <w:rFonts w:hint="eastAsia" w:ascii="宋体" w:hAnsi="宋体" w:eastAsia="宋体" w:cs="宋体"/>
                <w:b/>
                <w:color w:val="000000" w:themeColor="text1"/>
                <w:sz w:val="21"/>
                <w:lang w:val="en-US" w:eastAsia="zh-CN"/>
              </w:rPr>
              <w:t>66</w:t>
            </w: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lang w:val="en-US" w:eastAsia="zh-CN"/>
              </w:rPr>
            </w:pPr>
            <w:r>
              <w:rPr>
                <w:rFonts w:hint="eastAsia" w:ascii="宋体" w:hAnsi="宋体" w:eastAsia="宋体" w:cs="宋体"/>
                <w:color w:val="000000" w:themeColor="text1"/>
                <w:sz w:val="21"/>
                <w:lang w:val="en-US" w:eastAsia="zh-CN"/>
              </w:rPr>
              <w:t>66</w:t>
            </w:r>
          </w:p>
        </w:tc>
        <w:tc>
          <w:tcPr>
            <w:tcW w:w="7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b/>
                <w:color w:val="000000" w:themeColor="text1"/>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7-8</w:t>
            </w: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lang w:eastAsia="zh-CN"/>
              </w:rPr>
            </w:pPr>
            <w:r>
              <w:rPr>
                <w:rFonts w:hint="eastAsia" w:ascii="宋体" w:hAnsi="宋体" w:eastAsia="宋体" w:cs="宋体"/>
                <w:color w:val="000000" w:themeColor="text1"/>
                <w:sz w:val="21"/>
                <w:lang w:val="en-US" w:eastAsia="zh-CN"/>
              </w:rPr>
              <w:t>2</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lang w:eastAsia="zh-CN"/>
              </w:rPr>
            </w:pPr>
            <w:r>
              <w:rPr>
                <w:rFonts w:hint="eastAsia" w:ascii="宋体" w:hAnsi="宋体" w:eastAsia="宋体" w:cs="宋体"/>
                <w:color w:val="000000" w:themeColor="text1"/>
                <w:sz w:val="21"/>
                <w:lang w:val="en-US" w:eastAsia="zh-CN"/>
              </w:rPr>
              <w:t>2</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color w:val="000000"/>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大学语文</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2</w:t>
            </w: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b/>
                <w:color w:val="000000" w:themeColor="text1"/>
                <w:sz w:val="21"/>
              </w:rPr>
            </w:pPr>
            <w:r>
              <w:rPr>
                <w:rFonts w:hint="eastAsia" w:ascii="宋体" w:hAnsi="宋体" w:eastAsia="宋体" w:cs="宋体"/>
                <w:b/>
                <w:color w:val="000000" w:themeColor="text1"/>
                <w:sz w:val="21"/>
              </w:rPr>
              <w:t>32</w:t>
            </w: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32</w:t>
            </w:r>
          </w:p>
        </w:tc>
        <w:tc>
          <w:tcPr>
            <w:tcW w:w="7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b/>
                <w:color w:val="000000" w:themeColor="text1"/>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7｜8</w:t>
            </w:r>
          </w:p>
        </w:tc>
        <w:tc>
          <w:tcPr>
            <w:tcW w:w="124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r>
              <w:rPr>
                <w:rFonts w:hint="eastAsia" w:ascii="宋体" w:hAnsi="宋体" w:eastAsia="宋体" w:cs="宋体"/>
                <w:color w:val="000000" w:themeColor="text1"/>
                <w:sz w:val="21"/>
              </w:rPr>
              <w:t>2</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left="0" w:firstLine="2100" w:firstLineChars="1000"/>
              <w:jc w:val="both"/>
              <w:rPr>
                <w:rFonts w:hint="eastAsia" w:ascii="宋体" w:hAnsi="宋体" w:eastAsia="宋体" w:cs="宋体"/>
                <w:color w:val="000000"/>
                <w:sz w:val="21"/>
                <w:szCs w:val="21"/>
              </w:rPr>
            </w:pPr>
            <w:r>
              <w:rPr>
                <w:rFonts w:hint="eastAsia" w:ascii="宋体" w:hAnsi="宋体" w:eastAsia="宋体" w:cs="宋体"/>
                <w:color w:val="000000"/>
                <w:sz w:val="21"/>
                <w:szCs w:val="21"/>
              </w:rPr>
              <w:t>创业基础</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24</w:t>
            </w: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7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b/>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职业生涯规划</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24</w:t>
            </w: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7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b/>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1124"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1680" w:firstLineChars="800"/>
              <w:jc w:val="both"/>
              <w:rPr>
                <w:rFonts w:hint="eastAsia" w:ascii="宋体" w:hAnsi="宋体" w:eastAsia="宋体" w:cs="宋体"/>
                <w:color w:val="000000"/>
                <w:sz w:val="21"/>
                <w:szCs w:val="21"/>
              </w:rPr>
            </w:pPr>
            <w:r>
              <w:rPr>
                <w:rFonts w:hint="eastAsia" w:ascii="宋体" w:hAnsi="宋体" w:eastAsia="宋体" w:cs="宋体"/>
                <w:color w:val="000000"/>
                <w:sz w:val="21"/>
                <w:szCs w:val="21"/>
              </w:rPr>
              <w:t>社会公益素养培育</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24</w:t>
            </w: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*24</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167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参照团委志愿者相关规定执行（成绩计入第9学期）</w:t>
            </w: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小计</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20</w:t>
            </w: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3</w:t>
            </w:r>
            <w:r>
              <w:rPr>
                <w:rFonts w:hint="eastAsia" w:eastAsia="宋体" w:cs="宋体"/>
                <w:color w:val="000000" w:themeColor="text1"/>
                <w:sz w:val="21"/>
                <w:szCs w:val="21"/>
                <w:lang w:val="en-US" w:eastAsia="zh-CN"/>
              </w:rPr>
              <w:t>60</w:t>
            </w: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2</w:t>
            </w:r>
            <w:r>
              <w:rPr>
                <w:rFonts w:hint="eastAsia" w:eastAsia="宋体" w:cs="宋体"/>
                <w:color w:val="000000" w:themeColor="text1"/>
                <w:sz w:val="21"/>
                <w:szCs w:val="21"/>
                <w:lang w:val="en-US" w:eastAsia="zh-CN"/>
              </w:rPr>
              <w:t>28</w:t>
            </w:r>
          </w:p>
        </w:tc>
        <w:tc>
          <w:tcPr>
            <w:tcW w:w="7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100</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default" w:ascii="宋体" w:hAnsi="宋体" w:eastAsia="宋体" w:cs="宋体"/>
                <w:color w:val="000000" w:themeColor="text1"/>
                <w:sz w:val="21"/>
                <w:szCs w:val="21"/>
                <w:lang w:val="en-US" w:eastAsia="zh-CN"/>
              </w:rPr>
            </w:pPr>
            <w:r>
              <w:rPr>
                <w:rFonts w:hint="eastAsia" w:eastAsia="宋体" w:cs="宋体"/>
                <w:color w:val="000000" w:themeColor="text1"/>
                <w:sz w:val="21"/>
                <w:szCs w:val="21"/>
                <w:lang w:val="en-US" w:eastAsia="zh-CN"/>
              </w:rPr>
              <w:t>32</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0"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szCs w:val="21"/>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高职阶段</w:t>
            </w: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color w:val="000000"/>
                <w:sz w:val="21"/>
                <w:szCs w:val="21"/>
              </w:rPr>
            </w:pPr>
            <w:r>
              <w:rPr>
                <w:rFonts w:hint="eastAsia" w:ascii="宋体" w:hAnsi="宋体" w:eastAsia="宋体" w:cs="宋体"/>
                <w:color w:val="000000"/>
                <w:sz w:val="21"/>
                <w:szCs w:val="21"/>
              </w:rPr>
              <w:t>人文素养培育类</w:t>
            </w:r>
          </w:p>
        </w:tc>
        <w:tc>
          <w:tcPr>
            <w:tcW w:w="69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74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60</w:t>
            </w:r>
          </w:p>
        </w:tc>
        <w:tc>
          <w:tcPr>
            <w:tcW w:w="6343" w:type="dxa"/>
            <w:gridSpan w:val="9"/>
            <w:vMerge w:val="restart"/>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每门课程计为1学分，同时要求选修课程总学时不少于60学时。其中从“党史、新中国史、改革开放史、社会主义发展史”中至少选修 1 门选择性必修课程。</w:t>
            </w:r>
          </w:p>
          <w:p>
            <w:pPr>
              <w:adjustRightInd w:val="0"/>
              <w:snapToGrid w:val="0"/>
              <w:ind w:firstLine="0"/>
              <w:jc w:val="center"/>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0"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color w:val="000000"/>
                <w:sz w:val="21"/>
                <w:szCs w:val="21"/>
              </w:rPr>
            </w:pPr>
            <w:r>
              <w:rPr>
                <w:rFonts w:hint="eastAsia" w:ascii="宋体" w:hAnsi="宋体" w:eastAsia="宋体" w:cs="宋体"/>
                <w:color w:val="000000"/>
                <w:sz w:val="21"/>
                <w:szCs w:val="21"/>
              </w:rPr>
              <w:t>自然科学与科学精神培育类</w:t>
            </w:r>
          </w:p>
        </w:tc>
        <w:tc>
          <w:tcPr>
            <w:tcW w:w="69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color w:val="000000"/>
                <w:sz w:val="21"/>
                <w:szCs w:val="21"/>
              </w:rPr>
            </w:pPr>
          </w:p>
        </w:tc>
        <w:tc>
          <w:tcPr>
            <w:tcW w:w="74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b/>
                <w:color w:val="000000"/>
                <w:sz w:val="21"/>
                <w:szCs w:val="21"/>
              </w:rPr>
            </w:pPr>
          </w:p>
        </w:tc>
        <w:tc>
          <w:tcPr>
            <w:tcW w:w="6343" w:type="dxa"/>
            <w:gridSpan w:val="9"/>
            <w:vMerge w:val="continue"/>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0"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color w:val="000000"/>
                <w:sz w:val="21"/>
                <w:szCs w:val="21"/>
              </w:rPr>
            </w:pPr>
            <w:r>
              <w:rPr>
                <w:rFonts w:hint="eastAsia" w:ascii="宋体" w:hAnsi="宋体" w:eastAsia="宋体" w:cs="宋体"/>
                <w:color w:val="000000"/>
                <w:sz w:val="21"/>
                <w:szCs w:val="21"/>
              </w:rPr>
              <w:t>体育竞技与安全健康教育类</w:t>
            </w:r>
          </w:p>
        </w:tc>
        <w:tc>
          <w:tcPr>
            <w:tcW w:w="69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color w:val="000000"/>
                <w:sz w:val="21"/>
                <w:szCs w:val="21"/>
              </w:rPr>
            </w:pPr>
          </w:p>
        </w:tc>
        <w:tc>
          <w:tcPr>
            <w:tcW w:w="74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b/>
                <w:color w:val="000000"/>
                <w:sz w:val="21"/>
                <w:szCs w:val="21"/>
              </w:rPr>
            </w:pPr>
          </w:p>
        </w:tc>
        <w:tc>
          <w:tcPr>
            <w:tcW w:w="6343" w:type="dxa"/>
            <w:gridSpan w:val="9"/>
            <w:vMerge w:val="continue"/>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0"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color w:val="000000"/>
                <w:sz w:val="21"/>
                <w:szCs w:val="21"/>
              </w:rPr>
            </w:pPr>
            <w:r>
              <w:rPr>
                <w:rFonts w:hint="eastAsia" w:ascii="宋体" w:hAnsi="宋体" w:eastAsia="宋体" w:cs="宋体"/>
                <w:color w:val="000000"/>
                <w:sz w:val="21"/>
                <w:szCs w:val="21"/>
              </w:rPr>
              <w:t>福建地方特色文化传承类</w:t>
            </w:r>
          </w:p>
        </w:tc>
        <w:tc>
          <w:tcPr>
            <w:tcW w:w="69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color w:val="000000"/>
                <w:sz w:val="21"/>
                <w:szCs w:val="21"/>
              </w:rPr>
            </w:pPr>
          </w:p>
        </w:tc>
        <w:tc>
          <w:tcPr>
            <w:tcW w:w="74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b/>
                <w:color w:val="000000"/>
                <w:sz w:val="21"/>
                <w:szCs w:val="21"/>
              </w:rPr>
            </w:pPr>
          </w:p>
        </w:tc>
        <w:tc>
          <w:tcPr>
            <w:tcW w:w="6343" w:type="dxa"/>
            <w:gridSpan w:val="9"/>
            <w:vMerge w:val="continue"/>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0"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color w:val="000000"/>
                <w:sz w:val="21"/>
                <w:szCs w:val="21"/>
              </w:rPr>
            </w:pPr>
            <w:r>
              <w:rPr>
                <w:rFonts w:hint="eastAsia" w:ascii="宋体" w:hAnsi="宋体" w:eastAsia="宋体" w:cs="宋体"/>
                <w:color w:val="000000"/>
                <w:sz w:val="21"/>
                <w:szCs w:val="21"/>
              </w:rPr>
              <w:t>创新创业与职业素养培育类</w:t>
            </w:r>
          </w:p>
        </w:tc>
        <w:tc>
          <w:tcPr>
            <w:tcW w:w="69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color w:val="000000"/>
                <w:sz w:val="21"/>
                <w:szCs w:val="21"/>
              </w:rPr>
            </w:pPr>
          </w:p>
        </w:tc>
        <w:tc>
          <w:tcPr>
            <w:tcW w:w="74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b/>
                <w:color w:val="000000"/>
                <w:sz w:val="21"/>
                <w:szCs w:val="21"/>
              </w:rPr>
            </w:pPr>
          </w:p>
        </w:tc>
        <w:tc>
          <w:tcPr>
            <w:tcW w:w="6343" w:type="dxa"/>
            <w:gridSpan w:val="9"/>
            <w:vMerge w:val="continue"/>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0"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color w:val="000000"/>
                <w:sz w:val="21"/>
                <w:szCs w:val="21"/>
              </w:rPr>
            </w:pPr>
            <w:r>
              <w:rPr>
                <w:rFonts w:hint="eastAsia" w:ascii="宋体" w:hAnsi="宋体" w:eastAsia="宋体" w:cs="宋体"/>
                <w:color w:val="000000"/>
                <w:sz w:val="21"/>
                <w:szCs w:val="21"/>
              </w:rPr>
              <w:t>四史教育</w:t>
            </w:r>
          </w:p>
        </w:tc>
        <w:tc>
          <w:tcPr>
            <w:tcW w:w="69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color w:val="000000"/>
                <w:sz w:val="21"/>
                <w:szCs w:val="21"/>
              </w:rPr>
            </w:pPr>
          </w:p>
        </w:tc>
        <w:tc>
          <w:tcPr>
            <w:tcW w:w="74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b/>
                <w:color w:val="000000"/>
                <w:sz w:val="21"/>
                <w:szCs w:val="21"/>
              </w:rPr>
            </w:pPr>
          </w:p>
        </w:tc>
        <w:tc>
          <w:tcPr>
            <w:tcW w:w="6343" w:type="dxa"/>
            <w:gridSpan w:val="9"/>
            <w:vMerge w:val="continue"/>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b/>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0"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distribute"/>
              <w:rPr>
                <w:rFonts w:hint="eastAsia" w:ascii="宋体" w:hAnsi="宋体"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小计</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w:t>
            </w: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42" w:hRule="atLeast"/>
        </w:trPr>
        <w:tc>
          <w:tcPr>
            <w:tcW w:w="6435" w:type="dxa"/>
            <w:gridSpan w:val="4"/>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思想政治理论课、通识教育课程合计（不少于4</w:t>
            </w:r>
            <w:r>
              <w:rPr>
                <w:rFonts w:hint="eastAsia" w:eastAsia="宋体" w:cs="宋体"/>
                <w:color w:val="000000"/>
                <w:sz w:val="21"/>
                <w:szCs w:val="21"/>
                <w:lang w:val="en-US" w:eastAsia="zh-CN"/>
              </w:rPr>
              <w:t>25</w:t>
            </w:r>
            <w:r>
              <w:rPr>
                <w:rFonts w:hint="eastAsia" w:ascii="宋体" w:hAnsi="宋体" w:eastAsia="宋体" w:cs="宋体"/>
                <w:color w:val="000000"/>
                <w:sz w:val="21"/>
                <w:szCs w:val="21"/>
              </w:rPr>
              <w:t>学时）</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32</w:t>
            </w: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5</w:t>
            </w:r>
            <w:r>
              <w:rPr>
                <w:rFonts w:hint="eastAsia" w:eastAsia="宋体" w:cs="宋体"/>
                <w:color w:val="000000" w:themeColor="text1"/>
                <w:sz w:val="21"/>
                <w:szCs w:val="21"/>
                <w:lang w:val="en-US" w:eastAsia="zh-CN"/>
              </w:rPr>
              <w:t>80</w:t>
            </w: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4</w:t>
            </w:r>
            <w:r>
              <w:rPr>
                <w:rFonts w:hint="eastAsia" w:eastAsia="宋体" w:cs="宋体"/>
                <w:color w:val="000000" w:themeColor="text1"/>
                <w:sz w:val="21"/>
                <w:szCs w:val="21"/>
                <w:lang w:val="en-US" w:eastAsia="zh-CN"/>
              </w:rPr>
              <w:t>32</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100</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4</w:t>
            </w:r>
            <w:r>
              <w:rPr>
                <w:rFonts w:hint="eastAsia" w:eastAsia="宋体" w:cs="宋体"/>
                <w:color w:val="000000" w:themeColor="text1"/>
                <w:sz w:val="21"/>
                <w:szCs w:val="21"/>
                <w:lang w:val="en-US" w:eastAsia="zh-CN"/>
              </w:rPr>
              <w:t>8</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themeColor="text1"/>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22" w:hRule="atLeast"/>
        </w:trPr>
        <w:tc>
          <w:tcPr>
            <w:tcW w:w="0" w:type="auto"/>
            <w:vMerge w:val="restart"/>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r>
              <w:rPr>
                <w:rFonts w:hint="eastAsia" w:ascii="宋体" w:hAnsi="宋体" w:eastAsia="宋体" w:cs="宋体"/>
                <w:color w:val="000000"/>
                <w:sz w:val="21"/>
                <w:szCs w:val="21"/>
              </w:rPr>
              <w:t>专业基础</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必修</w:t>
            </w:r>
          </w:p>
          <w:p>
            <w:pPr>
              <w:widowControl/>
              <w:adjustRightInd w:val="0"/>
              <w:snapToGrid w:val="0"/>
              <w:ind w:firstLine="0"/>
              <w:jc w:val="center"/>
              <w:rPr>
                <w:rFonts w:hint="eastAsia" w:eastAsia="宋体" w:cs="宋体"/>
                <w:color w:val="000000"/>
                <w:sz w:val="21"/>
                <w:szCs w:val="21"/>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高职阶段</w:t>
            </w: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22"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专业应用数学（与高数教研室商定）</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22"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themeColor="text1"/>
                <w:sz w:val="21"/>
                <w:szCs w:val="21"/>
              </w:rPr>
              <w:t>专业英语（由各专业确定）</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22"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1260" w:firstLineChars="600"/>
              <w:rPr>
                <w:rFonts w:hint="eastAsia" w:ascii="宋体" w:hAnsi="宋体" w:eastAsia="宋体" w:cs="宋体"/>
                <w:color w:val="000000"/>
                <w:sz w:val="21"/>
                <w:szCs w:val="21"/>
              </w:rPr>
            </w:pPr>
            <w:r>
              <w:rPr>
                <w:rFonts w:hint="eastAsia" w:ascii="宋体" w:hAnsi="宋体" w:eastAsia="宋体" w:cs="宋体"/>
                <w:color w:val="000000"/>
                <w:sz w:val="21"/>
                <w:szCs w:val="21"/>
              </w:rPr>
              <w:t>小计（不</w:t>
            </w:r>
            <w:r>
              <w:rPr>
                <w:rFonts w:hint="eastAsia" w:eastAsia="宋体" w:cs="宋体"/>
                <w:color w:val="000000"/>
                <w:sz w:val="21"/>
                <w:szCs w:val="21"/>
                <w:lang w:eastAsia="zh-CN"/>
              </w:rPr>
              <w:t>超过2</w:t>
            </w:r>
            <w:r>
              <w:rPr>
                <w:rFonts w:hint="eastAsia" w:eastAsia="宋体" w:cs="宋体"/>
                <w:color w:val="000000"/>
                <w:sz w:val="21"/>
                <w:szCs w:val="21"/>
                <w:lang w:val="en-US" w:eastAsia="zh-CN"/>
              </w:rPr>
              <w:t>50</w:t>
            </w:r>
            <w:r>
              <w:rPr>
                <w:rFonts w:hint="eastAsia" w:ascii="宋体" w:hAnsi="宋体" w:eastAsia="宋体" w:cs="宋体"/>
                <w:color w:val="000000"/>
                <w:sz w:val="21"/>
                <w:szCs w:val="21"/>
              </w:rPr>
              <w:t>学时）</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22" w:hRule="atLeast"/>
        </w:trPr>
        <w:tc>
          <w:tcPr>
            <w:tcW w:w="0" w:type="auto"/>
            <w:vMerge w:val="restart"/>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专业核心</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必修</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高职阶</w:t>
            </w:r>
            <w:r>
              <w:rPr>
                <w:rFonts w:hint="eastAsia" w:eastAsia="宋体" w:cs="宋体"/>
                <w:color w:val="000000"/>
                <w:sz w:val="21"/>
                <w:szCs w:val="21"/>
                <w:lang w:val="en-US" w:eastAsia="zh-CN"/>
              </w:rPr>
              <w:t>4</w:t>
            </w: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22"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22"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22"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1050" w:firstLineChars="500"/>
              <w:rPr>
                <w:rFonts w:hint="eastAsia" w:ascii="宋体" w:hAnsi="宋体" w:eastAsia="宋体" w:cs="宋体"/>
                <w:color w:val="000000"/>
                <w:sz w:val="21"/>
                <w:szCs w:val="21"/>
              </w:rPr>
            </w:pPr>
            <w:r>
              <w:rPr>
                <w:rFonts w:hint="eastAsia" w:ascii="宋体" w:hAnsi="宋体" w:eastAsia="宋体" w:cs="宋体"/>
                <w:color w:val="000000"/>
                <w:sz w:val="21"/>
                <w:szCs w:val="21"/>
              </w:rPr>
              <w:t>小计（不</w:t>
            </w:r>
            <w:r>
              <w:rPr>
                <w:rFonts w:hint="eastAsia" w:eastAsia="宋体" w:cs="宋体"/>
                <w:color w:val="000000"/>
                <w:sz w:val="21"/>
                <w:szCs w:val="21"/>
                <w:lang w:eastAsia="zh-CN"/>
              </w:rPr>
              <w:t>超过</w:t>
            </w:r>
            <w:r>
              <w:rPr>
                <w:rFonts w:hint="eastAsia" w:ascii="宋体" w:hAnsi="宋体" w:eastAsia="宋体" w:cs="宋体"/>
                <w:color w:val="000000"/>
                <w:sz w:val="21"/>
                <w:szCs w:val="21"/>
              </w:rPr>
              <w:t>3</w:t>
            </w:r>
            <w:r>
              <w:rPr>
                <w:rFonts w:hint="eastAsia" w:eastAsia="宋体" w:cs="宋体"/>
                <w:color w:val="000000"/>
                <w:sz w:val="21"/>
                <w:szCs w:val="21"/>
                <w:lang w:eastAsia="zh-CN"/>
              </w:rPr>
              <w:t>0</w:t>
            </w:r>
            <w:r>
              <w:rPr>
                <w:rFonts w:hint="eastAsia" w:ascii="宋体" w:hAnsi="宋体" w:eastAsia="宋体" w:cs="宋体"/>
                <w:color w:val="000000"/>
                <w:sz w:val="21"/>
                <w:szCs w:val="21"/>
              </w:rPr>
              <w:t>0学时）</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7" w:hRule="atLeast"/>
        </w:trPr>
        <w:tc>
          <w:tcPr>
            <w:tcW w:w="0" w:type="auto"/>
            <w:vMerge w:val="restart"/>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专业拓展</w:t>
            </w:r>
          </w:p>
          <w:p>
            <w:pPr>
              <w:widowControl/>
              <w:adjustRightInd w:val="0"/>
              <w:snapToGrid w:val="0"/>
              <w:ind w:firstLine="0"/>
              <w:jc w:val="center"/>
              <w:rPr>
                <w:rFonts w:hint="eastAsia" w:eastAsia="宋体" w:cs="宋体"/>
                <w:color w:val="000000"/>
                <w:sz w:val="21"/>
                <w:szCs w:val="21"/>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rPr>
                <w:rFonts w:hint="eastAsia" w:ascii="宋体" w:hAnsi="宋体" w:eastAsia="宋体" w:cs="宋体"/>
                <w:color w:val="000000"/>
                <w:sz w:val="21"/>
                <w:szCs w:val="21"/>
              </w:rPr>
            </w:pPr>
            <w:r>
              <w:rPr>
                <w:rFonts w:hint="eastAsia" w:ascii="宋体" w:hAnsi="宋体" w:eastAsia="宋体" w:cs="宋体"/>
                <w:color w:val="000000"/>
                <w:sz w:val="21"/>
                <w:szCs w:val="21"/>
              </w:rPr>
              <w:t>专业选修</w:t>
            </w:r>
          </w:p>
          <w:p>
            <w:pPr>
              <w:adjustRightInd w:val="0"/>
              <w:snapToGrid w:val="0"/>
              <w:ind w:firstLine="0"/>
              <w:rPr>
                <w:rFonts w:hint="eastAsia" w:eastAsia="宋体" w:cs="宋体"/>
                <w:color w:val="000000"/>
                <w:sz w:val="21"/>
                <w:szCs w:val="21"/>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高职阶段</w:t>
            </w: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42"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小计（不少于1</w:t>
            </w:r>
            <w:r>
              <w:rPr>
                <w:rFonts w:hint="eastAsia" w:eastAsia="宋体" w:cs="宋体"/>
                <w:color w:val="000000"/>
                <w:sz w:val="21"/>
                <w:szCs w:val="21"/>
                <w:lang w:eastAsia="zh-CN"/>
              </w:rPr>
              <w:t>1</w:t>
            </w:r>
            <w:r>
              <w:rPr>
                <w:rFonts w:hint="eastAsia" w:eastAsia="宋体" w:cs="宋体"/>
                <w:color w:val="000000"/>
                <w:sz w:val="21"/>
                <w:szCs w:val="21"/>
                <w:lang w:val="en-US" w:eastAsia="zh-CN"/>
              </w:rPr>
              <w:t>0</w:t>
            </w:r>
            <w:r>
              <w:rPr>
                <w:rFonts w:hint="eastAsia" w:ascii="宋体" w:hAnsi="宋体" w:eastAsia="宋体" w:cs="宋体"/>
                <w:color w:val="000000"/>
                <w:sz w:val="21"/>
                <w:szCs w:val="21"/>
              </w:rPr>
              <w:t>课时，设置课程合计不少于3</w:t>
            </w:r>
            <w:r>
              <w:rPr>
                <w:rFonts w:hint="eastAsia" w:eastAsia="宋体" w:cs="宋体"/>
                <w:color w:val="000000"/>
                <w:sz w:val="21"/>
                <w:szCs w:val="21"/>
                <w:lang w:eastAsia="zh-CN"/>
              </w:rPr>
              <w:t>3</w:t>
            </w:r>
            <w:r>
              <w:rPr>
                <w:rFonts w:hint="eastAsia" w:eastAsia="宋体" w:cs="宋体"/>
                <w:color w:val="000000"/>
                <w:sz w:val="21"/>
                <w:szCs w:val="21"/>
                <w:lang w:val="en-US" w:eastAsia="zh-CN"/>
              </w:rPr>
              <w:t>0</w:t>
            </w:r>
            <w:r>
              <w:rPr>
                <w:rFonts w:hint="eastAsia" w:ascii="宋体" w:hAnsi="宋体" w:eastAsia="宋体" w:cs="宋体"/>
                <w:color w:val="000000"/>
                <w:sz w:val="21"/>
                <w:szCs w:val="21"/>
              </w:rPr>
              <w:t>学时）</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1656" w:hRule="atLeast"/>
        </w:trPr>
        <w:tc>
          <w:tcPr>
            <w:tcW w:w="0" w:type="auto"/>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rPr>
                <w:rFonts w:hint="eastAsia" w:ascii="宋体" w:hAnsi="宋体" w:eastAsia="宋体" w:cs="宋体"/>
                <w:color w:val="000000"/>
                <w:sz w:val="21"/>
                <w:szCs w:val="21"/>
              </w:rPr>
            </w:pPr>
          </w:p>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独立设置实习实训环节</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rPr>
                <w:rFonts w:hint="eastAsia" w:ascii="宋体" w:hAnsi="宋体" w:eastAsia="宋体" w:cs="宋体"/>
                <w:color w:val="000000"/>
                <w:sz w:val="21"/>
                <w:szCs w:val="21"/>
              </w:rPr>
            </w:pPr>
          </w:p>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必修</w:t>
            </w: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rPr>
                <w:rFonts w:hint="eastAsia" w:ascii="宋体" w:hAnsi="宋体" w:eastAsia="宋体" w:cs="宋体"/>
                <w:color w:val="000000"/>
                <w:sz w:val="21"/>
                <w:szCs w:val="21"/>
              </w:rPr>
            </w:pPr>
          </w:p>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高职阶段</w:t>
            </w: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rPr>
                <w:rFonts w:hint="eastAsia" w:ascii="宋体" w:hAnsi="宋体" w:eastAsia="宋体" w:cs="宋体"/>
                <w:color w:val="000000"/>
                <w:sz w:val="21"/>
                <w:szCs w:val="21"/>
              </w:rPr>
            </w:pPr>
          </w:p>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认识实习</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7" w:hRule="atLeast"/>
        </w:trPr>
        <w:tc>
          <w:tcPr>
            <w:tcW w:w="0" w:type="auto"/>
            <w:vMerge w:val="restart"/>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专周实训1（具体名称）</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专周实训2（具体名称）</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专周实训3（具体名称）</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专周实训…（具体名称）</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51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专周实训N（具体名称）</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eastAsia="宋体" w:cs="宋体"/>
                <w:color w:val="000000"/>
                <w:sz w:val="21"/>
                <w:szCs w:val="21"/>
                <w:lang w:eastAsia="zh-CN"/>
              </w:rPr>
              <w:t>岗位</w:t>
            </w:r>
            <w:r>
              <w:rPr>
                <w:rFonts w:hint="eastAsia" w:ascii="宋体" w:hAnsi="宋体" w:eastAsia="宋体" w:cs="宋体"/>
                <w:color w:val="000000"/>
                <w:sz w:val="21"/>
                <w:szCs w:val="21"/>
              </w:rPr>
              <w:t>实习</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8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毕业设计、毕业实习报告（或毕业论文）</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p>
            <w:pPr>
              <w:widowControl/>
              <w:adjustRightInd w:val="0"/>
              <w:snapToGrid w:val="0"/>
              <w:ind w:firstLine="0"/>
              <w:jc w:val="center"/>
              <w:rPr>
                <w:rFonts w:hint="eastAsia"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72</w:t>
            </w:r>
          </w:p>
          <w:p>
            <w:pPr>
              <w:widowControl/>
              <w:adjustRightInd w:val="0"/>
              <w:snapToGrid w:val="0"/>
              <w:ind w:firstLine="0"/>
              <w:jc w:val="center"/>
              <w:rPr>
                <w:rFonts w:hint="eastAsia"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jc w:val="center"/>
              <w:rPr>
                <w:rFonts w:hint="eastAsia"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p>
            <w:pPr>
              <w:widowControl/>
              <w:adjustRightInd w:val="0"/>
              <w:snapToGrid w:val="0"/>
              <w:ind w:firstLine="0"/>
              <w:jc w:val="center"/>
              <w:rPr>
                <w:rFonts w:hint="eastAsia"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72</w:t>
            </w:r>
          </w:p>
          <w:p>
            <w:pPr>
              <w:widowControl/>
              <w:adjustRightInd w:val="0"/>
              <w:snapToGrid w:val="0"/>
              <w:ind w:firstLine="0"/>
              <w:jc w:val="center"/>
              <w:rPr>
                <w:rFonts w:hint="eastAsia"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3周</w:t>
            </w:r>
          </w:p>
          <w:p>
            <w:pPr>
              <w:adjustRightInd w:val="0"/>
              <w:snapToGrid w:val="0"/>
              <w:ind w:firstLine="0"/>
              <w:jc w:val="center"/>
              <w:rPr>
                <w:rFonts w:hint="eastAsia"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7" w:hRule="atLeast"/>
        </w:trPr>
        <w:tc>
          <w:tcPr>
            <w:tcW w:w="0" w:type="auto"/>
            <w:vMerge w:val="continue"/>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小计（不少于</w:t>
            </w:r>
            <w:r>
              <w:rPr>
                <w:rFonts w:hint="eastAsia" w:eastAsia="宋体" w:cs="宋体"/>
                <w:color w:val="000000"/>
                <w:sz w:val="21"/>
                <w:szCs w:val="21"/>
                <w:lang w:eastAsia="zh-CN"/>
              </w:rPr>
              <w:t>6</w:t>
            </w:r>
            <w:r>
              <w:rPr>
                <w:rFonts w:hint="eastAsia" w:ascii="宋体" w:hAnsi="宋体" w:eastAsia="宋体" w:cs="宋体"/>
                <w:color w:val="000000"/>
                <w:sz w:val="21"/>
                <w:szCs w:val="21"/>
              </w:rPr>
              <w:t>00学时）</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eastAsia="宋体" w:cs="宋体"/>
                <w:color w:val="000000"/>
                <w:sz w:val="21"/>
                <w:szCs w:val="21"/>
                <w:lang w:eastAsia="zh-CN"/>
              </w:rPr>
              <w:t>6</w:t>
            </w:r>
            <w:r>
              <w:rPr>
                <w:rFonts w:hint="eastAsia" w:ascii="宋体" w:hAnsi="宋体" w:eastAsia="宋体" w:cs="宋体"/>
                <w:color w:val="000000"/>
                <w:sz w:val="21"/>
                <w:szCs w:val="21"/>
              </w:rPr>
              <w:t>00</w:t>
            </w: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294" w:hRule="atLeast"/>
        </w:trPr>
        <w:tc>
          <w:tcPr>
            <w:tcW w:w="6435" w:type="dxa"/>
            <w:gridSpan w:val="4"/>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专业课程合计（高职阶段不</w:t>
            </w:r>
            <w:r>
              <w:rPr>
                <w:rFonts w:hint="eastAsia" w:eastAsia="宋体" w:cs="宋体"/>
                <w:color w:val="000000"/>
                <w:sz w:val="21"/>
                <w:szCs w:val="21"/>
                <w:lang w:eastAsia="zh-CN"/>
              </w:rPr>
              <w:t>高</w:t>
            </w:r>
            <w:r>
              <w:rPr>
                <w:rFonts w:hint="eastAsia" w:ascii="宋体" w:hAnsi="宋体" w:eastAsia="宋体" w:cs="宋体"/>
                <w:color w:val="000000"/>
                <w:sz w:val="21"/>
                <w:szCs w:val="21"/>
              </w:rPr>
              <w:t>于12</w:t>
            </w:r>
            <w:r>
              <w:rPr>
                <w:rFonts w:hint="eastAsia" w:eastAsia="宋体" w:cs="宋体"/>
                <w:color w:val="000000"/>
                <w:sz w:val="21"/>
                <w:szCs w:val="21"/>
                <w:lang w:val="en-US" w:eastAsia="zh-CN"/>
              </w:rPr>
              <w:t>60</w:t>
            </w:r>
            <w:r>
              <w:rPr>
                <w:rFonts w:hint="eastAsia" w:ascii="宋体" w:hAnsi="宋体" w:eastAsia="宋体" w:cs="宋体"/>
                <w:color w:val="000000"/>
                <w:sz w:val="21"/>
                <w:szCs w:val="21"/>
              </w:rPr>
              <w:t>学时）</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7" w:hRule="atLeast"/>
        </w:trPr>
        <w:tc>
          <w:tcPr>
            <w:tcW w:w="6435" w:type="dxa"/>
            <w:gridSpan w:val="4"/>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课内教学总学时（高职阶段不少于1</w:t>
            </w:r>
            <w:r>
              <w:rPr>
                <w:rFonts w:hint="eastAsia" w:eastAsia="宋体" w:cs="宋体"/>
                <w:color w:val="000000"/>
                <w:sz w:val="21"/>
                <w:szCs w:val="21"/>
                <w:lang w:val="en-US" w:eastAsia="zh-CN"/>
              </w:rPr>
              <w:t>70</w:t>
            </w:r>
            <w:r>
              <w:rPr>
                <w:rFonts w:hint="eastAsia" w:ascii="宋体" w:hAnsi="宋体" w:eastAsia="宋体" w:cs="宋体"/>
                <w:color w:val="000000"/>
                <w:sz w:val="21"/>
                <w:szCs w:val="21"/>
              </w:rPr>
              <w:t>0学时）</w:t>
            </w:r>
          </w:p>
        </w:tc>
        <w:tc>
          <w:tcPr>
            <w:tcW w:w="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37" w:hRule="atLeast"/>
        </w:trPr>
        <w:tc>
          <w:tcPr>
            <w:tcW w:w="6435" w:type="dxa"/>
            <w:gridSpan w:val="4"/>
            <w:tcBorders>
              <w:top w:val="single" w:color="auto" w:sz="4" w:space="0"/>
              <w:left w:val="single" w:color="auto" w:sz="12" w:space="0"/>
              <w:bottom w:val="single" w:color="auto" w:sz="12" w:space="0"/>
              <w:right w:val="single" w:color="auto" w:sz="4" w:space="0"/>
            </w:tcBorders>
            <w:tcMar>
              <w:top w:w="0" w:type="dxa"/>
              <w:left w:w="108" w:type="dxa"/>
              <w:bottom w:w="0" w:type="dxa"/>
              <w:right w:w="108" w:type="dxa"/>
            </w:tcMar>
            <w:vAlign w:val="center"/>
          </w:tcPr>
          <w:p>
            <w:pPr>
              <w:adjustRightInd w:val="0"/>
              <w:snapToGrid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总学时合计（中高职不少于4</w:t>
            </w:r>
            <w:r>
              <w:rPr>
                <w:rFonts w:hint="eastAsia" w:eastAsia="宋体" w:cs="宋体"/>
                <w:color w:val="000000"/>
                <w:sz w:val="21"/>
                <w:szCs w:val="21"/>
                <w:lang w:val="en-US" w:eastAsia="zh-CN"/>
              </w:rPr>
              <w:t>70</w:t>
            </w:r>
            <w:r>
              <w:rPr>
                <w:rFonts w:hint="eastAsia" w:ascii="宋体" w:hAnsi="宋体" w:eastAsia="宋体" w:cs="宋体"/>
                <w:color w:val="000000"/>
                <w:sz w:val="21"/>
                <w:szCs w:val="21"/>
              </w:rPr>
              <w:t>0学时）</w:t>
            </w:r>
          </w:p>
        </w:tc>
        <w:tc>
          <w:tcPr>
            <w:tcW w:w="694"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746"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908"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c>
          <w:tcPr>
            <w:tcW w:w="0" w:type="auto"/>
            <w:tcBorders>
              <w:top w:val="single" w:color="auto" w:sz="4" w:space="0"/>
              <w:left w:val="single" w:color="auto" w:sz="4" w:space="0"/>
              <w:bottom w:val="single" w:color="auto" w:sz="12" w:space="0"/>
              <w:right w:val="single" w:color="auto" w:sz="12" w:space="0"/>
            </w:tcBorders>
            <w:tcMar>
              <w:top w:w="0" w:type="dxa"/>
              <w:left w:w="108" w:type="dxa"/>
              <w:bottom w:w="0" w:type="dxa"/>
              <w:right w:w="108" w:type="dxa"/>
            </w:tcMar>
            <w:vAlign w:val="center"/>
          </w:tcPr>
          <w:p>
            <w:pPr>
              <w:widowControl/>
              <w:adjustRightInd w:val="0"/>
              <w:snapToGrid w:val="0"/>
              <w:ind w:firstLine="0"/>
              <w:jc w:val="center"/>
              <w:rPr>
                <w:rFonts w:hint="eastAsia" w:ascii="宋体" w:hAnsi="宋体" w:eastAsia="宋体" w:cs="宋体"/>
                <w:color w:val="000000"/>
                <w:sz w:val="21"/>
                <w:szCs w:val="21"/>
              </w:rPr>
            </w:pPr>
          </w:p>
        </w:tc>
      </w:tr>
    </w:tbl>
    <w:p>
      <w:pPr>
        <w:autoSpaceDE w:val="0"/>
        <w:autoSpaceDN w:val="0"/>
        <w:snapToGrid w:val="0"/>
        <w:ind w:firstLine="0"/>
        <w:jc w:val="left"/>
        <w:rPr>
          <w:rFonts w:hint="eastAsia" w:ascii="宋体" w:hAnsi="宋体" w:eastAsia="宋体" w:cs="宋体"/>
          <w:b/>
          <w:color w:val="000000"/>
          <w:sz w:val="21"/>
          <w:szCs w:val="21"/>
          <w:u w:val="single"/>
          <w:shd w:val="pct10" w:color="000000" w:fill="FFFFFF"/>
        </w:rPr>
      </w:pPr>
    </w:p>
    <w:p>
      <w:pPr>
        <w:autoSpaceDE w:val="0"/>
        <w:autoSpaceDN w:val="0"/>
        <w:snapToGrid w:val="0"/>
        <w:ind w:firstLine="0"/>
        <w:jc w:val="left"/>
        <w:rPr>
          <w:rFonts w:hint="eastAsia" w:ascii="宋体" w:hAnsi="宋体" w:eastAsia="宋体" w:cs="宋体"/>
          <w:b/>
          <w:color w:val="000000"/>
          <w:sz w:val="21"/>
          <w:szCs w:val="21"/>
          <w:u w:val="single"/>
          <w:shd w:val="pct10" w:color="000000" w:fill="FFFFFF"/>
        </w:rPr>
      </w:pPr>
    </w:p>
    <w:p>
      <w:pPr>
        <w:autoSpaceDE w:val="0"/>
        <w:autoSpaceDN w:val="0"/>
        <w:snapToGrid w:val="0"/>
        <w:ind w:firstLine="0"/>
        <w:jc w:val="left"/>
        <w:rPr>
          <w:rFonts w:hint="eastAsia" w:ascii="宋体" w:hAnsi="宋体" w:eastAsia="宋体" w:cs="宋体"/>
          <w:b/>
          <w:color w:val="000000"/>
          <w:sz w:val="21"/>
          <w:szCs w:val="21"/>
          <w:u w:val="single"/>
          <w:shd w:val="pct10" w:color="000000" w:fill="FFFFFF"/>
        </w:rPr>
      </w:pPr>
    </w:p>
    <w:p>
      <w:pPr>
        <w:autoSpaceDE w:val="0"/>
        <w:autoSpaceDN w:val="0"/>
        <w:snapToGrid w:val="0"/>
        <w:ind w:firstLine="0"/>
        <w:jc w:val="left"/>
        <w:rPr>
          <w:rFonts w:hint="eastAsia" w:ascii="宋体" w:hAnsi="宋体" w:eastAsia="宋体" w:cs="宋体"/>
          <w:b/>
          <w:color w:val="000000"/>
          <w:sz w:val="21"/>
          <w:szCs w:val="21"/>
          <w:u w:val="single"/>
          <w:shd w:val="pct10" w:color="000000" w:fill="FFFFFF"/>
        </w:rPr>
      </w:pPr>
    </w:p>
    <w:p>
      <w:pPr>
        <w:autoSpaceDE w:val="0"/>
        <w:autoSpaceDN w:val="0"/>
        <w:snapToGrid w:val="0"/>
        <w:ind w:firstLine="0"/>
        <w:jc w:val="left"/>
        <w:rPr>
          <w:rFonts w:hint="eastAsia" w:ascii="宋体" w:hAnsi="宋体" w:eastAsia="宋体" w:cs="宋体"/>
          <w:b/>
          <w:color w:val="000000"/>
          <w:sz w:val="21"/>
          <w:szCs w:val="21"/>
          <w:u w:val="single"/>
          <w:shd w:val="pct10" w:color="000000" w:fill="FFFFFF"/>
        </w:rPr>
      </w:pPr>
    </w:p>
    <w:p>
      <w:pPr>
        <w:autoSpaceDE w:val="0"/>
        <w:autoSpaceDN w:val="0"/>
        <w:snapToGrid w:val="0"/>
        <w:ind w:firstLine="0"/>
        <w:jc w:val="left"/>
        <w:rPr>
          <w:rFonts w:hint="eastAsia" w:ascii="宋体" w:hAnsi="宋体" w:eastAsia="宋体" w:cs="宋体"/>
          <w:b/>
          <w:color w:val="000000"/>
          <w:sz w:val="21"/>
          <w:szCs w:val="21"/>
          <w:u w:val="single"/>
          <w:shd w:val="pct10" w:color="000000" w:fill="FFFFFF"/>
        </w:rPr>
      </w:pPr>
    </w:p>
    <w:p>
      <w:pPr>
        <w:autoSpaceDE w:val="0"/>
        <w:autoSpaceDN w:val="0"/>
        <w:snapToGrid w:val="0"/>
        <w:ind w:firstLine="0"/>
        <w:jc w:val="left"/>
        <w:rPr>
          <w:rFonts w:hint="eastAsia" w:ascii="宋体" w:hAnsi="宋体" w:eastAsia="宋体" w:cs="宋体"/>
          <w:b/>
          <w:color w:val="000000"/>
          <w:sz w:val="21"/>
          <w:szCs w:val="21"/>
          <w:u w:val="single"/>
          <w:shd w:val="pct10" w:color="000000" w:fill="FFFFFF"/>
        </w:rPr>
      </w:pPr>
    </w:p>
    <w:p>
      <w:pPr>
        <w:autoSpaceDE w:val="0"/>
        <w:autoSpaceDN w:val="0"/>
        <w:snapToGrid w:val="0"/>
        <w:ind w:firstLine="0"/>
        <w:jc w:val="left"/>
        <w:rPr>
          <w:rFonts w:hint="eastAsia" w:ascii="宋体" w:hAnsi="宋体" w:eastAsia="宋体" w:cs="宋体"/>
          <w:b/>
          <w:color w:val="000000"/>
          <w:sz w:val="21"/>
          <w:szCs w:val="21"/>
          <w:u w:val="single"/>
          <w:shd w:val="pct10" w:color="000000" w:fill="FFFFFF"/>
        </w:rPr>
      </w:pPr>
    </w:p>
    <w:p>
      <w:pPr>
        <w:autoSpaceDE w:val="0"/>
        <w:autoSpaceDN w:val="0"/>
        <w:snapToGrid w:val="0"/>
        <w:ind w:firstLine="0"/>
        <w:jc w:val="left"/>
        <w:rPr>
          <w:rFonts w:hint="eastAsia" w:ascii="宋体" w:hAnsi="宋体" w:eastAsia="宋体" w:cs="宋体"/>
          <w:b/>
          <w:color w:val="000000"/>
          <w:sz w:val="21"/>
          <w:szCs w:val="21"/>
          <w:u w:val="single"/>
          <w:shd w:val="pct10" w:color="000000" w:fill="FFFFFF"/>
        </w:rPr>
      </w:pPr>
    </w:p>
    <w:p>
      <w:pPr>
        <w:autoSpaceDE w:val="0"/>
        <w:autoSpaceDN w:val="0"/>
        <w:snapToGrid w:val="0"/>
        <w:ind w:firstLine="0"/>
        <w:jc w:val="left"/>
        <w:rPr>
          <w:rFonts w:hint="eastAsia" w:ascii="宋体" w:hAnsi="宋体" w:eastAsia="宋体" w:cs="宋体"/>
          <w:b/>
          <w:color w:val="000000"/>
          <w:sz w:val="21"/>
          <w:szCs w:val="21"/>
          <w:u w:val="single"/>
          <w:shd w:val="pct10" w:color="000000" w:fill="FFFFFF"/>
        </w:rPr>
      </w:pPr>
    </w:p>
    <w:p>
      <w:pPr>
        <w:autoSpaceDE w:val="0"/>
        <w:autoSpaceDN w:val="0"/>
        <w:snapToGrid w:val="0"/>
        <w:ind w:firstLine="0"/>
        <w:jc w:val="left"/>
        <w:rPr>
          <w:rFonts w:hint="eastAsia" w:ascii="宋体" w:hAnsi="宋体" w:eastAsia="宋体" w:cs="宋体"/>
          <w:b/>
          <w:color w:val="000000"/>
          <w:sz w:val="21"/>
          <w:szCs w:val="21"/>
          <w:u w:val="single"/>
          <w:shd w:val="pct10" w:color="000000" w:fill="FFFFFF"/>
        </w:rPr>
      </w:pPr>
    </w:p>
    <w:p>
      <w:pPr>
        <w:autoSpaceDE w:val="0"/>
        <w:autoSpaceDN w:val="0"/>
        <w:snapToGrid w:val="0"/>
        <w:ind w:firstLine="0"/>
        <w:jc w:val="left"/>
        <w:rPr>
          <w:rFonts w:hint="eastAsia" w:ascii="宋体" w:hAnsi="宋体" w:eastAsia="宋体" w:cs="宋体"/>
          <w:b/>
          <w:color w:val="000000"/>
          <w:sz w:val="21"/>
          <w:szCs w:val="21"/>
          <w:u w:val="single"/>
          <w:shd w:val="pct10" w:color="000000" w:fill="FFFFFF"/>
        </w:rPr>
      </w:pPr>
    </w:p>
    <w:p>
      <w:pPr>
        <w:autoSpaceDE w:val="0"/>
        <w:autoSpaceDN w:val="0"/>
        <w:snapToGrid w:val="0"/>
        <w:ind w:firstLine="0"/>
        <w:jc w:val="left"/>
        <w:rPr>
          <w:rFonts w:hint="eastAsia" w:ascii="宋体" w:hAnsi="宋体" w:eastAsia="宋体" w:cs="宋体"/>
          <w:b/>
          <w:color w:val="000000"/>
          <w:sz w:val="21"/>
          <w:szCs w:val="21"/>
          <w:u w:val="single"/>
          <w:shd w:val="pct10" w:color="000000" w:fill="FFFFFF"/>
        </w:rPr>
      </w:pPr>
    </w:p>
    <w:p>
      <w:pPr>
        <w:autoSpaceDE w:val="0"/>
        <w:autoSpaceDN w:val="0"/>
        <w:snapToGrid w:val="0"/>
        <w:ind w:firstLine="0"/>
        <w:jc w:val="left"/>
        <w:rPr>
          <w:rFonts w:hint="eastAsia" w:ascii="宋体" w:hAnsi="宋体" w:eastAsia="宋体" w:cs="宋体"/>
          <w:b/>
          <w:color w:val="000000"/>
          <w:sz w:val="21"/>
          <w:szCs w:val="21"/>
          <w:u w:val="single"/>
          <w:shd w:val="pct10" w:color="000000" w:fill="FFFFFF"/>
        </w:rPr>
      </w:pPr>
    </w:p>
    <w:p>
      <w:pPr>
        <w:autoSpaceDE w:val="0"/>
        <w:autoSpaceDN w:val="0"/>
        <w:snapToGrid w:val="0"/>
        <w:ind w:firstLine="0"/>
        <w:jc w:val="left"/>
        <w:rPr>
          <w:rFonts w:hint="eastAsia" w:ascii="宋体" w:hAnsi="宋体" w:eastAsia="宋体" w:cs="宋体"/>
          <w:b/>
          <w:color w:val="000000"/>
          <w:sz w:val="21"/>
          <w:szCs w:val="21"/>
          <w:u w:val="single"/>
          <w:shd w:val="pct10" w:color="000000" w:fill="FFFFFF"/>
        </w:rPr>
      </w:pPr>
    </w:p>
    <w:p>
      <w:pPr>
        <w:autoSpaceDE w:val="0"/>
        <w:autoSpaceDN w:val="0"/>
        <w:snapToGrid w:val="0"/>
        <w:ind w:firstLine="0"/>
        <w:jc w:val="left"/>
        <w:rPr>
          <w:rFonts w:hint="eastAsia" w:ascii="宋体" w:hAnsi="宋体" w:eastAsia="宋体" w:cs="宋体"/>
          <w:b/>
          <w:color w:val="000000"/>
          <w:sz w:val="21"/>
          <w:szCs w:val="21"/>
          <w:u w:val="single"/>
          <w:shd w:val="pct10" w:color="000000" w:fill="FFFFFF"/>
        </w:rPr>
      </w:pPr>
    </w:p>
    <w:p>
      <w:pPr>
        <w:autoSpaceDE w:val="0"/>
        <w:autoSpaceDN w:val="0"/>
        <w:snapToGrid w:val="0"/>
        <w:ind w:firstLine="0"/>
        <w:jc w:val="left"/>
        <w:rPr>
          <w:rFonts w:hint="eastAsia" w:ascii="宋体" w:hAnsi="宋体" w:eastAsia="宋体" w:cs="宋体"/>
          <w:b/>
          <w:color w:val="000000"/>
          <w:sz w:val="21"/>
          <w:szCs w:val="21"/>
          <w:u w:val="single"/>
          <w:shd w:val="pct10" w:color="000000" w:fill="FFFFFF"/>
        </w:rPr>
      </w:pPr>
    </w:p>
    <w:p>
      <w:pPr>
        <w:autoSpaceDE w:val="0"/>
        <w:autoSpaceDN w:val="0"/>
        <w:snapToGrid w:val="0"/>
        <w:ind w:firstLine="0"/>
        <w:jc w:val="left"/>
        <w:rPr>
          <w:rFonts w:hint="eastAsia" w:ascii="宋体" w:hAnsi="宋体" w:eastAsia="宋体" w:cs="宋体"/>
          <w:b/>
          <w:color w:val="000000"/>
          <w:sz w:val="21"/>
          <w:szCs w:val="21"/>
          <w:u w:val="single"/>
          <w:shd w:val="pct10" w:color="000000" w:fill="FFFFFF"/>
        </w:rPr>
      </w:pPr>
    </w:p>
    <w:p>
      <w:pPr>
        <w:autoSpaceDE w:val="0"/>
        <w:autoSpaceDN w:val="0"/>
        <w:snapToGrid w:val="0"/>
        <w:ind w:firstLine="0"/>
        <w:jc w:val="left"/>
        <w:rPr>
          <w:rFonts w:hint="eastAsia" w:ascii="宋体" w:hAnsi="宋体" w:eastAsia="宋体" w:cs="宋体"/>
          <w:b/>
          <w:color w:val="000000"/>
          <w:sz w:val="21"/>
          <w:szCs w:val="21"/>
          <w:u w:val="single"/>
          <w:shd w:val="pct10" w:color="000000" w:fill="FFFFFF"/>
        </w:rPr>
      </w:pPr>
    </w:p>
    <w:p>
      <w:pPr>
        <w:autoSpaceDE w:val="0"/>
        <w:autoSpaceDN w:val="0"/>
        <w:snapToGrid w:val="0"/>
        <w:ind w:firstLine="0"/>
        <w:jc w:val="left"/>
        <w:rPr>
          <w:rFonts w:hint="eastAsia" w:ascii="宋体" w:hAnsi="宋体" w:eastAsia="宋体" w:cs="宋体"/>
          <w:b/>
          <w:color w:val="000000"/>
          <w:sz w:val="21"/>
          <w:szCs w:val="21"/>
          <w:u w:val="single"/>
          <w:shd w:val="pct10" w:color="000000" w:fill="FFFFFF"/>
        </w:rPr>
        <w:sectPr>
          <w:pgSz w:w="16838" w:h="11906" w:orient="landscape"/>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p>
      <w:pPr>
        <w:widowControl/>
        <w:snapToGrid w:val="0"/>
        <w:ind w:firstLine="0"/>
        <w:jc w:val="left"/>
        <w:rPr>
          <w:rFonts w:ascii="仿宋" w:hAnsi="仿宋" w:eastAsia="仿宋"/>
          <w:b/>
          <w:color w:val="000000"/>
          <w:sz w:val="28"/>
        </w:rPr>
      </w:pPr>
      <w:r>
        <w:rPr>
          <w:rFonts w:hint="eastAsia" w:ascii="仿宋" w:hAnsi="仿宋" w:eastAsia="仿宋"/>
          <w:b/>
          <w:color w:val="000000"/>
          <w:sz w:val="28"/>
        </w:rPr>
        <w:t>六、教学环境和设施要求</w:t>
      </w:r>
    </w:p>
    <w:p>
      <w:pPr>
        <w:widowControl/>
        <w:snapToGrid w:val="0"/>
        <w:ind w:left="482" w:firstLine="482"/>
        <w:jc w:val="left"/>
        <w:rPr>
          <w:rFonts w:ascii="仿宋" w:hAnsi="仿宋" w:eastAsia="仿宋"/>
          <w:b/>
          <w:color w:val="000000"/>
          <w:sz w:val="24"/>
        </w:rPr>
      </w:pPr>
      <w:r>
        <w:rPr>
          <w:rFonts w:hint="eastAsia" w:ascii="仿宋" w:hAnsi="仿宋" w:eastAsia="仿宋"/>
          <w:b/>
          <w:color w:val="000000"/>
          <w:sz w:val="24"/>
        </w:rPr>
        <w:t>（一）教学设施</w:t>
      </w: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实践教学条件是按照完成核心课程学习情境教学，每个场地一次容纳</w:t>
      </w:r>
      <w:r>
        <w:rPr>
          <w:rFonts w:ascii="仿宋" w:hAnsi="仿宋" w:eastAsia="仿宋"/>
          <w:color w:val="000000"/>
          <w:sz w:val="24"/>
        </w:rPr>
        <w:t>50</w:t>
      </w:r>
      <w:r>
        <w:rPr>
          <w:rFonts w:hint="eastAsia" w:ascii="仿宋" w:hAnsi="仿宋" w:eastAsia="仿宋"/>
          <w:color w:val="000000"/>
          <w:sz w:val="24"/>
        </w:rPr>
        <w:t>名学生，进行理论实践一体化教学需要进行配置。建议对必要的校内专业基础课教学实训室和教学设备的基本要求进行描述，不是对专业现有情况进行描述；包括校内实训基地的基本要求（含职业技能鉴定要求）、校外实训基地的基本要求（满足专业实践教学和技能训练要求，满足学生顶岗实训半年以上的实训基地）；信息网络教学条件。</w:t>
      </w:r>
    </w:p>
    <w:p>
      <w:pPr>
        <w:widowControl/>
        <w:snapToGrid w:val="0"/>
        <w:ind w:left="480" w:firstLine="480"/>
        <w:jc w:val="left"/>
        <w:rPr>
          <w:rFonts w:ascii="仿宋" w:hAnsi="仿宋" w:eastAsia="仿宋"/>
          <w:color w:val="000000"/>
          <w:sz w:val="24"/>
        </w:rPr>
      </w:pPr>
    </w:p>
    <w:p>
      <w:pPr>
        <w:widowControl/>
        <w:snapToGrid w:val="0"/>
        <w:ind w:left="482" w:firstLine="482"/>
        <w:jc w:val="left"/>
        <w:rPr>
          <w:rFonts w:ascii="仿宋" w:hAnsi="仿宋" w:eastAsia="仿宋"/>
          <w:b/>
          <w:color w:val="000000"/>
          <w:sz w:val="24"/>
        </w:rPr>
      </w:pPr>
      <w:r>
        <w:rPr>
          <w:rFonts w:hint="eastAsia" w:ascii="仿宋" w:hAnsi="仿宋" w:eastAsia="仿宋"/>
          <w:b/>
          <w:color w:val="000000"/>
          <w:sz w:val="24"/>
        </w:rPr>
        <w:t>（二）教材及图书、数字化（网络）资料等学习资源</w:t>
      </w:r>
    </w:p>
    <w:p>
      <w:pPr>
        <w:widowControl/>
        <w:adjustRightInd w:val="0"/>
        <w:snapToGrid w:val="0"/>
        <w:spacing w:line="300" w:lineRule="auto"/>
        <w:ind w:firstLine="480" w:firstLineChars="200"/>
        <w:jc w:val="left"/>
        <w:rPr>
          <w:rFonts w:hint="eastAsia" w:ascii="仿宋" w:hAnsi="仿宋" w:eastAsia="仿宋"/>
          <w:color w:val="000000"/>
          <w:kern w:val="0"/>
          <w:sz w:val="24"/>
          <w:lang w:eastAsia="zh-CN"/>
        </w:rPr>
      </w:pPr>
      <w:r>
        <w:rPr>
          <w:rFonts w:hint="eastAsia" w:ascii="仿宋" w:hAnsi="仿宋" w:eastAsia="仿宋"/>
          <w:color w:val="000000"/>
          <w:kern w:val="0"/>
          <w:sz w:val="24"/>
          <w:lang w:val="en-US" w:eastAsia="zh-CN"/>
        </w:rPr>
        <w:t>1.</w:t>
      </w:r>
      <w:r>
        <w:rPr>
          <w:rFonts w:hint="eastAsia" w:ascii="仿宋" w:hAnsi="仿宋" w:eastAsia="仿宋"/>
          <w:color w:val="000000"/>
          <w:kern w:val="0"/>
          <w:sz w:val="24"/>
          <w:lang w:eastAsia="zh-CN"/>
        </w:rPr>
        <w:t>教材选用原则</w:t>
      </w:r>
    </w:p>
    <w:p>
      <w:pPr>
        <w:widowControl/>
        <w:numPr>
          <w:ilvl w:val="-1"/>
          <w:numId w:val="0"/>
        </w:numPr>
        <w:adjustRightInd w:val="0"/>
        <w:snapToGrid w:val="0"/>
        <w:spacing w:line="300" w:lineRule="auto"/>
        <w:ind w:firstLine="480" w:firstLineChars="200"/>
        <w:jc w:val="left"/>
        <w:rPr>
          <w:rFonts w:hint="eastAsia" w:ascii="仿宋" w:hAnsi="仿宋" w:eastAsia="仿宋"/>
          <w:color w:val="000000" w:themeColor="text1"/>
          <w:kern w:val="0"/>
          <w:sz w:val="24"/>
          <w:lang w:val="en-US" w:eastAsia="zh-CN"/>
        </w:rPr>
      </w:pPr>
      <w:r>
        <w:rPr>
          <w:rFonts w:hint="eastAsia" w:ascii="仿宋" w:hAnsi="仿宋" w:eastAsia="仿宋"/>
          <w:color w:val="000000" w:themeColor="text1"/>
          <w:kern w:val="0"/>
          <w:sz w:val="24"/>
          <w:lang w:val="en-US" w:eastAsia="zh-CN"/>
        </w:rPr>
        <w:t>2.数字化课程资源</w:t>
      </w:r>
    </w:p>
    <w:p>
      <w:pPr>
        <w:widowControl/>
        <w:numPr>
          <w:ilvl w:val="-1"/>
          <w:numId w:val="0"/>
        </w:numPr>
        <w:adjustRightInd w:val="0"/>
        <w:snapToGrid w:val="0"/>
        <w:spacing w:line="300" w:lineRule="auto"/>
        <w:ind w:firstLine="0" w:firstLineChars="0"/>
        <w:jc w:val="left"/>
        <w:rPr>
          <w:rFonts w:ascii="仿宋" w:hAnsi="仿宋" w:eastAsia="仿宋"/>
          <w:color w:val="000000"/>
          <w:kern w:val="0"/>
          <w:sz w:val="24"/>
        </w:rPr>
      </w:pPr>
      <w:r>
        <w:rPr>
          <w:rFonts w:hint="eastAsia" w:ascii="仿宋" w:hAnsi="仿宋" w:eastAsia="仿宋"/>
          <w:color w:val="000000"/>
          <w:kern w:val="0"/>
          <w:sz w:val="24"/>
          <w:lang w:eastAsia="zh-CN"/>
        </w:rPr>
        <w:t>列表体现本专业所建设的数字化资源（课程名称、课程属性、学时、平台、资源容量等）建议：</w:t>
      </w:r>
      <w:r>
        <w:rPr>
          <w:rFonts w:hint="eastAsia" w:ascii="仿宋" w:hAnsi="仿宋" w:eastAsia="仿宋"/>
          <w:color w:val="000000"/>
          <w:kern w:val="0"/>
          <w:sz w:val="24"/>
        </w:rPr>
        <w:t>侧重有利于学生自主学习，内容丰富、使用便捷、更新及时的数字化专业学习资源要求。</w:t>
      </w:r>
    </w:p>
    <w:p>
      <w:pPr>
        <w:autoSpaceDE w:val="0"/>
        <w:autoSpaceDN w:val="0"/>
        <w:adjustRightInd w:val="0"/>
        <w:snapToGrid w:val="0"/>
        <w:spacing w:line="300" w:lineRule="auto"/>
        <w:ind w:firstLine="562" w:firstLineChars="200"/>
        <w:jc w:val="left"/>
        <w:rPr>
          <w:rFonts w:ascii="仿宋" w:hAnsi="仿宋" w:eastAsia="仿宋" w:cs="宋体"/>
          <w:b/>
          <w:color w:val="000000"/>
          <w:kern w:val="0"/>
          <w:sz w:val="28"/>
          <w:szCs w:val="28"/>
        </w:rPr>
      </w:pPr>
    </w:p>
    <w:p>
      <w:pPr>
        <w:autoSpaceDE w:val="0"/>
        <w:autoSpaceDN w:val="0"/>
        <w:snapToGrid w:val="0"/>
        <w:ind w:left="562" w:firstLine="562"/>
        <w:jc w:val="left"/>
        <w:rPr>
          <w:rFonts w:ascii="仿宋" w:hAnsi="仿宋" w:eastAsia="仿宋"/>
          <w:b/>
          <w:color w:val="000000"/>
          <w:sz w:val="28"/>
        </w:rPr>
      </w:pPr>
    </w:p>
    <w:p>
      <w:pPr>
        <w:widowControl/>
        <w:snapToGrid w:val="0"/>
        <w:ind w:firstLine="0"/>
        <w:jc w:val="left"/>
        <w:rPr>
          <w:rFonts w:ascii="仿宋" w:hAnsi="仿宋" w:eastAsia="仿宋"/>
          <w:b/>
          <w:color w:val="000000"/>
          <w:sz w:val="28"/>
        </w:rPr>
      </w:pPr>
      <w:r>
        <w:rPr>
          <w:rFonts w:hint="eastAsia" w:ascii="仿宋" w:hAnsi="仿宋" w:eastAsia="仿宋"/>
          <w:b/>
          <w:color w:val="000000"/>
          <w:sz w:val="28"/>
        </w:rPr>
        <w:t>七、专业教师任职资格与教学团队要求</w:t>
      </w: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建议按照专业发展规模提出需求规划。专业教师任职资格，专业生师比，师资力量、师资结构（专任教师任职资格及专业能力要求，企业兼职教师的任职资格及水平（技术）要求、承担的专业课程及学时比例等）。各专业在校生与该专业的专任教师比不高于</w:t>
      </w:r>
      <w:r>
        <w:rPr>
          <w:rFonts w:ascii="仿宋" w:hAnsi="仿宋" w:eastAsia="仿宋"/>
          <w:color w:val="000000"/>
          <w:sz w:val="24"/>
        </w:rPr>
        <w:t>25:1</w:t>
      </w:r>
      <w:r>
        <w:rPr>
          <w:rFonts w:hint="eastAsia" w:ascii="仿宋" w:hAnsi="仿宋" w:eastAsia="仿宋"/>
          <w:color w:val="000000"/>
          <w:sz w:val="24"/>
        </w:rPr>
        <w:t>（不含公共课）。“双师型”教师一般不低于</w:t>
      </w:r>
      <w:r>
        <w:rPr>
          <w:rFonts w:ascii="仿宋" w:hAnsi="仿宋" w:eastAsia="仿宋"/>
          <w:color w:val="000000"/>
          <w:sz w:val="24"/>
        </w:rPr>
        <w:t>60%</w:t>
      </w:r>
      <w:r>
        <w:rPr>
          <w:rFonts w:hint="eastAsia" w:ascii="仿宋" w:hAnsi="仿宋" w:eastAsia="仿宋"/>
          <w:color w:val="000000"/>
          <w:sz w:val="24"/>
        </w:rPr>
        <w:t>。</w:t>
      </w:r>
    </w:p>
    <w:p>
      <w:pPr>
        <w:widowControl/>
        <w:snapToGrid w:val="0"/>
        <w:ind w:firstLine="0"/>
        <w:jc w:val="left"/>
        <w:rPr>
          <w:rFonts w:ascii="仿宋" w:hAnsi="仿宋" w:eastAsia="仿宋"/>
          <w:color w:val="000000"/>
          <w:sz w:val="28"/>
        </w:rPr>
      </w:pPr>
    </w:p>
    <w:p>
      <w:pPr>
        <w:widowControl/>
        <w:snapToGrid w:val="0"/>
        <w:ind w:firstLine="0"/>
        <w:jc w:val="left"/>
        <w:rPr>
          <w:rFonts w:ascii="仿宋" w:hAnsi="仿宋" w:eastAsia="仿宋"/>
          <w:b/>
          <w:color w:val="000000"/>
          <w:sz w:val="28"/>
        </w:rPr>
      </w:pPr>
      <w:r>
        <w:rPr>
          <w:rFonts w:hint="eastAsia" w:ascii="仿宋" w:hAnsi="仿宋" w:eastAsia="仿宋"/>
          <w:b/>
          <w:color w:val="000000"/>
          <w:sz w:val="28"/>
        </w:rPr>
        <w:t>八、实施建议</w:t>
      </w:r>
    </w:p>
    <w:p>
      <w:pPr>
        <w:widowControl/>
        <w:snapToGrid w:val="0"/>
        <w:ind w:left="482" w:firstLine="482"/>
        <w:jc w:val="left"/>
        <w:rPr>
          <w:rFonts w:ascii="仿宋" w:hAnsi="仿宋" w:eastAsia="仿宋"/>
          <w:b/>
          <w:color w:val="000000"/>
          <w:sz w:val="24"/>
        </w:rPr>
      </w:pPr>
      <w:r>
        <w:rPr>
          <w:rFonts w:hint="eastAsia" w:ascii="仿宋" w:hAnsi="仿宋" w:eastAsia="仿宋"/>
          <w:b/>
          <w:color w:val="000000"/>
          <w:sz w:val="24"/>
        </w:rPr>
        <w:t>（一）教学方法、手段与教学组织形式建议</w:t>
      </w: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建议：“以学生为中心”，根据学生特点，激发学生学习兴趣；实行任务驱动、项目导向等多种形式的“做中学、做中教”教学模式。鼓励课程依托网络教学平台或其他在线教学软件实施线上线下结合的混合教学模式改革，建设视频公开课、微课等网络教学资源，并且开展线上答疑讨论、在线测试、课程作业等教学互动，线下教学以操作为主，促进学生开展自主学习与探究学习。</w:t>
      </w:r>
    </w:p>
    <w:p>
      <w:pPr>
        <w:widowControl/>
        <w:snapToGrid w:val="0"/>
        <w:ind w:left="480" w:firstLine="480"/>
        <w:jc w:val="left"/>
        <w:rPr>
          <w:rFonts w:ascii="仿宋" w:hAnsi="仿宋" w:eastAsia="仿宋"/>
          <w:color w:val="000000"/>
          <w:sz w:val="24"/>
        </w:rPr>
      </w:pPr>
    </w:p>
    <w:p>
      <w:pPr>
        <w:widowControl/>
        <w:snapToGrid w:val="0"/>
        <w:ind w:left="482" w:firstLine="482"/>
        <w:jc w:val="left"/>
        <w:rPr>
          <w:rFonts w:ascii="仿宋" w:hAnsi="仿宋" w:eastAsia="仿宋"/>
          <w:b/>
          <w:color w:val="000000"/>
          <w:sz w:val="24"/>
        </w:rPr>
      </w:pPr>
      <w:r>
        <w:rPr>
          <w:rFonts w:hint="eastAsia" w:ascii="仿宋" w:hAnsi="仿宋" w:eastAsia="仿宋"/>
          <w:b/>
          <w:color w:val="000000"/>
          <w:sz w:val="24"/>
        </w:rPr>
        <w:t>（二）教学评价、考核建议</w:t>
      </w: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建议：突出能力的考核评价方式，体现对综合素质的评价；吸纳更多行业企业和社会有关方面组织参与考核评价。</w:t>
      </w: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对教师教学、学生学习评价的方式方法提出建议。对学生的学业考核评价内容应兼顾认知、技能、情感等方面，评价应体现评价标准、评价主体、评价方式、评价过程的多元化，如观察、口试、笔试、顶岗操作、职业技能大赛、职业资格鉴定等评价、评定方式。要加强对教学过程的质量监控，改革教学评价的标准和方法。</w:t>
      </w:r>
    </w:p>
    <w:p>
      <w:pPr>
        <w:widowControl/>
        <w:snapToGrid w:val="0"/>
        <w:ind w:left="480" w:firstLine="480"/>
        <w:jc w:val="left"/>
        <w:rPr>
          <w:rFonts w:ascii="仿宋" w:hAnsi="仿宋" w:eastAsia="仿宋"/>
          <w:color w:val="000000"/>
          <w:sz w:val="24"/>
        </w:rPr>
      </w:pPr>
    </w:p>
    <w:p>
      <w:pPr>
        <w:widowControl/>
        <w:snapToGrid w:val="0"/>
        <w:ind w:left="482" w:firstLine="482"/>
        <w:jc w:val="left"/>
        <w:rPr>
          <w:rFonts w:ascii="仿宋" w:hAnsi="仿宋" w:eastAsia="仿宋"/>
          <w:b/>
          <w:color w:val="000000"/>
          <w:sz w:val="24"/>
        </w:rPr>
      </w:pPr>
      <w:r>
        <w:rPr>
          <w:rFonts w:hint="eastAsia" w:ascii="仿宋" w:hAnsi="仿宋" w:eastAsia="仿宋"/>
          <w:b/>
          <w:color w:val="000000"/>
          <w:sz w:val="24"/>
        </w:rPr>
        <w:t>（三）教学管理</w:t>
      </w: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建议：针对不同生源特点的教学管理重点与模式。</w:t>
      </w:r>
    </w:p>
    <w:p>
      <w:pPr>
        <w:widowControl/>
        <w:snapToGrid w:val="0"/>
        <w:ind w:left="480" w:firstLine="480"/>
        <w:jc w:val="left"/>
        <w:rPr>
          <w:rFonts w:ascii="仿宋" w:hAnsi="仿宋" w:eastAsia="仿宋"/>
          <w:color w:val="000000"/>
          <w:sz w:val="24"/>
        </w:rPr>
      </w:pPr>
    </w:p>
    <w:p>
      <w:pPr>
        <w:widowControl/>
        <w:snapToGrid w:val="0"/>
        <w:ind w:firstLine="0"/>
        <w:jc w:val="left"/>
        <w:rPr>
          <w:rFonts w:ascii="仿宋" w:hAnsi="仿宋" w:eastAsia="仿宋"/>
          <w:b/>
          <w:color w:val="000000"/>
          <w:sz w:val="28"/>
        </w:rPr>
      </w:pPr>
      <w:r>
        <w:rPr>
          <w:rFonts w:hint="eastAsia" w:ascii="仿宋" w:hAnsi="仿宋" w:eastAsia="仿宋"/>
          <w:b/>
          <w:color w:val="000000"/>
          <w:sz w:val="28"/>
        </w:rPr>
        <w:t>九、质量管理</w:t>
      </w: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建立健全质量保障体系。以保障和提高教学质量为目标，运用系统方法，依靠必要的组织结构，统筹考虑影响教学质量的各主要因素，结合教学诊断与改进等自主保证人才培养质量的工作，统筹各环节的教学质量管理活动，形成任务、职责、权限明确，相互协调、相互促进的质量管理有机整体。</w:t>
      </w:r>
    </w:p>
    <w:p>
      <w:pPr>
        <w:widowControl/>
        <w:snapToGrid w:val="0"/>
        <w:ind w:left="440" w:firstLine="440"/>
        <w:jc w:val="left"/>
        <w:rPr>
          <w:rFonts w:ascii="Helvetica Neue" w:hAnsi="Helvetica Neue" w:eastAsia="Times New Roman"/>
          <w:color w:val="000000"/>
          <w:sz w:val="22"/>
          <w:shd w:val="clear" w:color="000000" w:fill="FFFFFF"/>
        </w:rPr>
      </w:pPr>
    </w:p>
    <w:p>
      <w:pPr>
        <w:widowControl/>
        <w:snapToGrid w:val="0"/>
        <w:ind w:firstLine="0"/>
        <w:jc w:val="left"/>
        <w:rPr>
          <w:rFonts w:ascii="仿宋" w:hAnsi="仿宋" w:eastAsia="仿宋"/>
          <w:b/>
          <w:color w:val="000000"/>
          <w:sz w:val="28"/>
        </w:rPr>
      </w:pPr>
      <w:r>
        <w:rPr>
          <w:rFonts w:hint="eastAsia" w:ascii="仿宋" w:hAnsi="仿宋" w:eastAsia="仿宋"/>
          <w:b/>
          <w:color w:val="000000"/>
          <w:sz w:val="28"/>
        </w:rPr>
        <w:t>十、毕业要求</w:t>
      </w:r>
    </w:p>
    <w:p>
      <w:pPr>
        <w:widowControl/>
        <w:snapToGrid w:val="0"/>
        <w:ind w:left="480" w:firstLine="480"/>
        <w:jc w:val="left"/>
        <w:rPr>
          <w:rFonts w:ascii="仿宋" w:hAnsi="仿宋" w:eastAsia="仿宋"/>
          <w:color w:val="000000"/>
          <w:sz w:val="24"/>
        </w:rPr>
      </w:pPr>
    </w:p>
    <w:p>
      <w:pPr>
        <w:widowControl/>
        <w:snapToGrid w:val="0"/>
        <w:ind w:left="480" w:firstLine="480"/>
        <w:jc w:val="left"/>
        <w:rPr>
          <w:rFonts w:ascii="仿宋" w:hAnsi="仿宋" w:eastAsia="仿宋"/>
          <w:color w:val="000000"/>
          <w:sz w:val="24"/>
        </w:rPr>
      </w:pPr>
      <w:r>
        <w:rPr>
          <w:rFonts w:hint="eastAsia" w:ascii="仿宋" w:hAnsi="仿宋" w:eastAsia="仿宋"/>
          <w:color w:val="000000"/>
          <w:sz w:val="24"/>
        </w:rPr>
        <w:t>学生在学校规定学习年限内，修满本专业人才培养方案所规定的课程与学分，达到本专业人才培养目标和培养规格的要求，准予毕业并发给毕业证书。</w:t>
      </w:r>
    </w:p>
    <w:p>
      <w:pPr>
        <w:widowControl/>
        <w:snapToGrid w:val="0"/>
        <w:ind w:firstLine="0"/>
        <w:jc w:val="left"/>
        <w:rPr>
          <w:color w:val="000000"/>
          <w:sz w:val="21"/>
        </w:rPr>
      </w:pPr>
    </w:p>
    <w:p>
      <w:pPr>
        <w:widowControl/>
        <w:adjustRightInd w:val="0"/>
        <w:snapToGrid w:val="0"/>
        <w:spacing w:line="300" w:lineRule="auto"/>
        <w:ind w:firstLine="480" w:firstLineChars="200"/>
        <w:jc w:val="left"/>
        <w:rPr>
          <w:rFonts w:ascii="仿宋" w:hAnsi="仿宋" w:eastAsia="仿宋"/>
          <w:color w:val="000000" w:themeColor="text1"/>
          <w:sz w:val="24"/>
          <w:u w:val="none"/>
        </w:rPr>
      </w:pPr>
      <w:r>
        <w:rPr>
          <w:rFonts w:hint="eastAsia" w:ascii="仿宋" w:hAnsi="仿宋" w:eastAsia="仿宋"/>
          <w:color w:val="000000" w:themeColor="text1"/>
          <w:sz w:val="24"/>
          <w:u w:val="none"/>
        </w:rPr>
        <w:t>1.</w:t>
      </w:r>
      <w:r>
        <w:rPr>
          <w:rFonts w:hint="eastAsia" w:ascii="仿宋" w:hAnsi="仿宋" w:eastAsia="仿宋" w:cs="Times New Roman"/>
          <w:color w:val="000000" w:themeColor="text1"/>
          <w:sz w:val="24"/>
          <w:szCs w:val="20"/>
          <w:u w:val="none"/>
        </w:rPr>
        <w:t>修满总学时XXX,学分XX</w:t>
      </w:r>
      <w:r>
        <w:rPr>
          <w:rFonts w:hint="eastAsia" w:ascii="仿宋" w:hAnsi="仿宋" w:eastAsia="仿宋" w:cs="Times New Roman"/>
          <w:color w:val="000000" w:themeColor="text1"/>
          <w:sz w:val="24"/>
          <w:szCs w:val="20"/>
          <w:u w:val="none"/>
          <w:lang w:eastAsia="zh-CN"/>
        </w:rPr>
        <w:t>。</w:t>
      </w:r>
      <w:r>
        <w:rPr>
          <w:rFonts w:hint="eastAsia" w:ascii="仿宋" w:hAnsi="仿宋" w:eastAsia="仿宋" w:cs="Times New Roman"/>
          <w:color w:val="000000" w:themeColor="text1"/>
          <w:sz w:val="24"/>
          <w:szCs w:val="20"/>
          <w:u w:val="none"/>
        </w:rPr>
        <w:t>中职阶段学时XXX,学分XX</w:t>
      </w:r>
      <w:r>
        <w:rPr>
          <w:rFonts w:hint="eastAsia" w:ascii="仿宋" w:hAnsi="仿宋" w:eastAsia="仿宋" w:cs="Times New Roman"/>
          <w:color w:val="000000" w:themeColor="text1"/>
          <w:sz w:val="24"/>
          <w:szCs w:val="20"/>
          <w:u w:val="none"/>
          <w:lang w:eastAsia="zh-CN"/>
        </w:rPr>
        <w:t>；</w:t>
      </w:r>
      <w:r>
        <w:rPr>
          <w:rFonts w:hint="eastAsia" w:ascii="仿宋" w:hAnsi="仿宋" w:eastAsia="仿宋" w:cs="Times New Roman"/>
          <w:color w:val="000000" w:themeColor="text1"/>
          <w:sz w:val="24"/>
          <w:szCs w:val="20"/>
          <w:u w:val="none"/>
        </w:rPr>
        <w:t>高职阶段学时XXX,学分XX。中职阶段需通过转段考核，方可升入高职。</w:t>
      </w:r>
    </w:p>
    <w:p>
      <w:pPr>
        <w:widowControl/>
        <w:adjustRightInd w:val="0"/>
        <w:snapToGrid w:val="0"/>
        <w:spacing w:line="300" w:lineRule="auto"/>
        <w:ind w:firstLine="480" w:firstLineChars="200"/>
        <w:jc w:val="left"/>
        <w:rPr>
          <w:rFonts w:ascii="仿宋" w:hAnsi="仿宋" w:eastAsia="仿宋"/>
          <w:color w:val="000000" w:themeColor="text1"/>
          <w:sz w:val="24"/>
          <w:u w:val="none"/>
        </w:rPr>
      </w:pPr>
      <w:r>
        <w:rPr>
          <w:rFonts w:hint="eastAsia" w:ascii="仿宋" w:hAnsi="仿宋" w:eastAsia="仿宋"/>
          <w:color w:val="000000" w:themeColor="text1"/>
          <w:sz w:val="24"/>
          <w:u w:val="none"/>
        </w:rPr>
        <w:t>2.</w:t>
      </w:r>
      <w:r>
        <w:rPr>
          <w:rFonts w:hint="eastAsia" w:ascii="仿宋" w:hAnsi="仿宋" w:eastAsia="仿宋"/>
          <w:color w:val="000000" w:themeColor="text1"/>
          <w:sz w:val="24"/>
          <w:u w:val="none"/>
          <w:lang w:val="en-US" w:eastAsia="zh-CN"/>
        </w:rPr>
        <w:t>高职阶段</w:t>
      </w:r>
      <w:r>
        <w:rPr>
          <w:rFonts w:hint="eastAsia" w:ascii="仿宋" w:hAnsi="仿宋" w:eastAsia="仿宋"/>
          <w:color w:val="000000" w:themeColor="text1"/>
          <w:sz w:val="24"/>
          <w:u w:val="none"/>
        </w:rPr>
        <w:t>思想政治理论必修课学时XX，学分XX；通识教育选修课不少于100学时，4学分，其中至少从“四史”中选修 1 门选择性必修课程。</w:t>
      </w:r>
    </w:p>
    <w:p>
      <w:pPr>
        <w:widowControl/>
        <w:adjustRightInd w:val="0"/>
        <w:snapToGrid w:val="0"/>
        <w:spacing w:line="300" w:lineRule="auto"/>
        <w:ind w:firstLine="480" w:firstLineChars="200"/>
        <w:jc w:val="left"/>
        <w:rPr>
          <w:rFonts w:ascii="仿宋" w:hAnsi="仿宋" w:eastAsia="仿宋"/>
          <w:color w:val="000000" w:themeColor="text1"/>
          <w:sz w:val="24"/>
          <w:u w:val="none"/>
        </w:rPr>
      </w:pPr>
      <w:r>
        <w:rPr>
          <w:rFonts w:hint="eastAsia" w:ascii="仿宋" w:hAnsi="仿宋" w:eastAsia="仿宋"/>
          <w:color w:val="000000" w:themeColor="text1"/>
          <w:sz w:val="24"/>
          <w:u w:val="none"/>
        </w:rPr>
        <w:t>3.取得的职业证书（其他可替代的证书或课程）</w:t>
      </w:r>
    </w:p>
    <w:p>
      <w:pPr>
        <w:widowControl/>
        <w:adjustRightInd w:val="0"/>
        <w:snapToGrid w:val="0"/>
        <w:spacing w:line="300" w:lineRule="auto"/>
        <w:ind w:firstLine="480" w:firstLineChars="200"/>
        <w:jc w:val="left"/>
        <w:rPr>
          <w:rFonts w:ascii="仿宋" w:hAnsi="仿宋" w:eastAsia="仿宋"/>
          <w:color w:val="000000" w:themeColor="text1"/>
          <w:sz w:val="24"/>
          <w:u w:val="none"/>
        </w:rPr>
      </w:pPr>
      <w:r>
        <w:rPr>
          <w:rFonts w:hint="eastAsia" w:ascii="仿宋" w:hAnsi="仿宋" w:eastAsia="仿宋"/>
          <w:color w:val="000000" w:themeColor="text1"/>
          <w:sz w:val="24"/>
          <w:u w:val="none"/>
        </w:rPr>
        <w:t>4.外语证书 （专业如没有要求请删除）</w:t>
      </w:r>
    </w:p>
    <w:p>
      <w:pPr>
        <w:widowControl/>
        <w:adjustRightInd w:val="0"/>
        <w:snapToGrid w:val="0"/>
        <w:spacing w:line="300" w:lineRule="auto"/>
        <w:ind w:firstLine="480" w:firstLineChars="200"/>
        <w:jc w:val="left"/>
        <w:rPr>
          <w:rFonts w:ascii="仿宋" w:hAnsi="仿宋" w:eastAsia="仿宋"/>
          <w:color w:val="000000" w:themeColor="text1"/>
          <w:sz w:val="24"/>
          <w:u w:val="none"/>
        </w:rPr>
      </w:pPr>
      <w:r>
        <w:rPr>
          <w:rFonts w:hint="eastAsia" w:ascii="仿宋" w:hAnsi="仿宋" w:eastAsia="仿宋"/>
          <w:color w:val="000000" w:themeColor="text1"/>
          <w:sz w:val="24"/>
          <w:u w:val="none"/>
        </w:rPr>
        <w:t>5.其它要求（专业如没有要求请删除）</w:t>
      </w:r>
    </w:p>
    <w:p>
      <w:pPr>
        <w:widowControl/>
        <w:snapToGrid w:val="0"/>
        <w:ind w:firstLine="0"/>
        <w:jc w:val="left"/>
        <w:rPr>
          <w:color w:val="000000" w:themeColor="text1"/>
          <w:sz w:val="21"/>
        </w:rPr>
      </w:pPr>
    </w:p>
    <w:p>
      <w:pPr>
        <w:widowControl/>
        <w:snapToGrid w:val="0"/>
        <w:ind w:firstLine="0"/>
        <w:jc w:val="left"/>
        <w:rPr>
          <w:color w:val="000000"/>
          <w:sz w:val="21"/>
        </w:rPr>
      </w:pPr>
    </w:p>
    <w:p>
      <w:pPr>
        <w:widowControl/>
        <w:snapToGrid w:val="0"/>
        <w:ind w:firstLine="0"/>
        <w:jc w:val="left"/>
        <w:rPr>
          <w:color w:val="000000"/>
          <w:sz w:val="21"/>
        </w:rPr>
      </w:pPr>
    </w:p>
    <w:p>
      <w:pPr>
        <w:widowControl/>
        <w:snapToGrid w:val="0"/>
        <w:ind w:firstLine="0"/>
        <w:jc w:val="left"/>
        <w:rPr>
          <w:color w:val="000000"/>
          <w:sz w:val="21"/>
        </w:rPr>
      </w:pPr>
    </w:p>
    <w:p>
      <w:pPr>
        <w:widowControl/>
        <w:snapToGrid w:val="0"/>
        <w:ind w:firstLine="0"/>
        <w:jc w:val="left"/>
        <w:rPr>
          <w:color w:val="000000"/>
          <w:sz w:val="21"/>
        </w:rPr>
      </w:pPr>
    </w:p>
    <w:p>
      <w:pPr>
        <w:widowControl/>
        <w:snapToGrid w:val="0"/>
        <w:ind w:firstLine="0"/>
        <w:jc w:val="left"/>
        <w:rPr>
          <w:color w:val="000000"/>
          <w:sz w:val="21"/>
        </w:rPr>
      </w:pPr>
    </w:p>
    <w:p>
      <w:pPr>
        <w:widowControl/>
        <w:snapToGrid w:val="0"/>
        <w:ind w:firstLine="0"/>
        <w:jc w:val="left"/>
        <w:rPr>
          <w:color w:val="000000"/>
          <w:sz w:val="21"/>
        </w:rPr>
      </w:pPr>
    </w:p>
    <w:p>
      <w:pPr>
        <w:widowControl/>
        <w:snapToGrid w:val="0"/>
        <w:ind w:firstLine="0"/>
        <w:jc w:val="left"/>
        <w:rPr>
          <w:color w:val="000000"/>
          <w:sz w:val="21"/>
        </w:rPr>
      </w:pPr>
    </w:p>
    <w:p>
      <w:pPr>
        <w:widowControl/>
        <w:snapToGrid w:val="0"/>
        <w:ind w:firstLine="0"/>
        <w:jc w:val="left"/>
        <w:rPr>
          <w:color w:val="000000"/>
          <w:sz w:val="21"/>
        </w:rPr>
      </w:pPr>
    </w:p>
    <w:p>
      <w:pPr>
        <w:widowControl/>
        <w:snapToGrid w:val="0"/>
        <w:ind w:firstLine="0"/>
        <w:jc w:val="left"/>
        <w:rPr>
          <w:color w:val="000000"/>
          <w:sz w:val="21"/>
        </w:rPr>
      </w:pPr>
    </w:p>
    <w:p>
      <w:pPr>
        <w:widowControl/>
        <w:snapToGrid w:val="0"/>
        <w:ind w:firstLine="0"/>
        <w:jc w:val="left"/>
        <w:rPr>
          <w:color w:val="000000"/>
          <w:sz w:val="21"/>
        </w:rPr>
      </w:pPr>
    </w:p>
    <w:p>
      <w:pPr>
        <w:widowControl/>
        <w:snapToGrid w:val="0"/>
        <w:ind w:firstLine="0"/>
        <w:jc w:val="left"/>
        <w:rPr>
          <w:color w:val="000000"/>
          <w:sz w:val="21"/>
        </w:rPr>
      </w:pPr>
    </w:p>
    <w:p>
      <w:pPr>
        <w:widowControl/>
        <w:snapToGrid w:val="0"/>
        <w:ind w:firstLine="0"/>
        <w:jc w:val="left"/>
        <w:rPr>
          <w:color w:val="000000"/>
          <w:sz w:val="21"/>
        </w:rPr>
      </w:pPr>
    </w:p>
    <w:p>
      <w:pPr>
        <w:widowControl/>
        <w:snapToGrid w:val="0"/>
        <w:ind w:firstLine="0"/>
        <w:jc w:val="left"/>
        <w:rPr>
          <w:color w:val="000000"/>
          <w:sz w:val="21"/>
        </w:rPr>
      </w:pPr>
    </w:p>
    <w:p>
      <w:pPr>
        <w:widowControl/>
        <w:snapToGrid w:val="0"/>
        <w:ind w:firstLine="0"/>
        <w:jc w:val="left"/>
        <w:rPr>
          <w:color w:val="000000"/>
          <w:sz w:val="21"/>
        </w:rPr>
      </w:pPr>
    </w:p>
    <w:p>
      <w:pPr>
        <w:widowControl/>
        <w:snapToGrid w:val="0"/>
        <w:ind w:firstLine="0"/>
        <w:jc w:val="left"/>
        <w:rPr>
          <w:color w:val="000000"/>
          <w:sz w:val="21"/>
        </w:rPr>
      </w:pPr>
    </w:p>
    <w:p>
      <w:pPr>
        <w:widowControl/>
        <w:snapToGrid w:val="0"/>
        <w:ind w:firstLine="0"/>
        <w:jc w:val="left"/>
        <w:rPr>
          <w:color w:val="000000"/>
          <w:sz w:val="21"/>
        </w:rPr>
      </w:pPr>
    </w:p>
    <w:p>
      <w:pPr>
        <w:widowControl/>
        <w:snapToGrid w:val="0"/>
        <w:ind w:firstLine="0"/>
        <w:jc w:val="left"/>
        <w:rPr>
          <w:color w:val="000000"/>
          <w:sz w:val="21"/>
        </w:rPr>
      </w:pPr>
    </w:p>
    <w:p>
      <w:pPr>
        <w:widowControl/>
        <w:snapToGrid w:val="0"/>
        <w:ind w:firstLine="0"/>
        <w:jc w:val="left"/>
        <w:rPr>
          <w:color w:val="000000"/>
          <w:sz w:val="21"/>
        </w:rPr>
      </w:pPr>
    </w:p>
    <w:p>
      <w:pPr>
        <w:widowControl/>
        <w:snapToGrid w:val="0"/>
        <w:ind w:firstLine="0"/>
        <w:jc w:val="left"/>
        <w:rPr>
          <w:color w:val="000000"/>
          <w:sz w:val="21"/>
        </w:rPr>
      </w:pPr>
    </w:p>
    <w:p>
      <w:pPr>
        <w:widowControl/>
        <w:snapToGrid w:val="0"/>
        <w:ind w:firstLine="0"/>
        <w:jc w:val="left"/>
        <w:rPr>
          <w:color w:val="000000"/>
          <w:sz w:val="21"/>
        </w:rPr>
      </w:pPr>
    </w:p>
    <w:p>
      <w:pPr>
        <w:ind w:firstLine="0"/>
        <w:rPr>
          <w:color w:val="000000"/>
          <w:sz w:val="21"/>
        </w:rPr>
      </w:pPr>
    </w:p>
    <w:p>
      <w:pPr>
        <w:ind w:firstLine="0"/>
      </w:pPr>
      <w:r>
        <w:pict>
          <v:group id="head" o:spid="_x0000_s2063" o:spt="203" style="position:absolute;left:0pt;margin-left:-46.65pt;margin-top:14.2pt;height:150.05pt;width:503.4pt;z-index:251664384;mso-width-relative:page;mso-height-relative:page;" coordorigin="994,5888" coordsize="10068,3001" editas="canvas">
            <o:lock v:ext="edit"/>
            <v:shape id="head" o:spid="_x0000_s2064" o:spt="75" type="#_x0000_t75" style="position:absolute;left:994;top:5888;height:3001;width:10068;" filled="f" stroked="f" coordsize="21600,21600">
              <v:path/>
              <v:fill on="f" focussize="0,0"/>
              <v:stroke on="f" weight="6pt"/>
              <v:imagedata o:title=""/>
              <o:lock v:ext="edit" aspectratio="t"/>
            </v:shape>
            <v:shape id="wenhao" o:spid="_x0000_s2065" o:spt="202" type="#_x0000_t202" style="position:absolute;left:7410;top:8159;height:730;width:3652;" fillcolor="#FFFFFF" filled="t" stroked="f" coordsize="21600,21600">
              <v:path/>
              <v:fill on="t" color2="#FFFFFF" focussize="0,0"/>
              <v:stroke on="f"/>
              <v:imagedata o:title=""/>
              <o:lock v:ext="edit" aspectratio="f"/>
              <v:textbox>
                <w:txbxContent>
                  <w:p>
                    <w:pPr>
                      <w:spacing w:line="560" w:lineRule="exact"/>
                      <w:jc w:val="center"/>
                      <w:rPr>
                        <w:rFonts w:eastAsia="仿宋_GB2312"/>
                        <w:bCs/>
                        <w:sz w:val="32"/>
                        <w:szCs w:val="32"/>
                      </w:rPr>
                    </w:pPr>
                    <w:r>
                      <w:rPr>
                        <w:rFonts w:eastAsia="仿宋_GB2312"/>
                        <w:bCs/>
                        <w:sz w:val="32"/>
                        <w:szCs w:val="32"/>
                      </w:rPr>
                      <w:t>教职成〔2019〕13号</w:t>
                    </w:r>
                  </w:p>
                  <w:p>
                    <w:pPr>
                      <w:spacing w:line="560" w:lineRule="exact"/>
                      <w:jc w:val="center"/>
                      <w:rPr>
                        <w:rFonts w:eastAsia="仿宋_GB2312"/>
                        <w:bCs/>
                        <w:sz w:val="32"/>
                        <w:szCs w:val="32"/>
                      </w:rPr>
                    </w:pPr>
                    <w:r>
                      <w:rPr>
                        <w:rFonts w:eastAsia="仿宋_GB2312"/>
                        <w:bCs/>
                        <w:sz w:val="32"/>
                        <w:szCs w:val="32"/>
                      </w:rPr>
                      <w:t>教职成〔2019〕13号</w:t>
                    </w:r>
                  </w:p>
                  <w:p>
                    <w:pPr>
                      <w:spacing w:line="560" w:lineRule="exact"/>
                      <w:jc w:val="center"/>
                      <w:rPr>
                        <w:rFonts w:eastAsia="仿宋_GB2312"/>
                        <w:bCs/>
                        <w:sz w:val="32"/>
                        <w:szCs w:val="32"/>
                      </w:rPr>
                    </w:pPr>
                    <w:r>
                      <w:rPr>
                        <w:rFonts w:eastAsia="仿宋_GB2312"/>
                        <w:bCs/>
                        <w:sz w:val="32"/>
                        <w:szCs w:val="32"/>
                      </w:rPr>
                      <w:t>教职成〔2019〕13号</w:t>
                    </w:r>
                  </w:p>
                  <w:p>
                    <w:pPr>
                      <w:rPr>
                        <w:rFonts w:hint="eastAsia"/>
                        <w:szCs w:val="32"/>
                      </w:rPr>
                    </w:pPr>
                  </w:p>
                </w:txbxContent>
              </v:textbox>
            </v:shape>
            <v:line id="_x0000_s2066" o:spid="_x0000_s2066" o:spt="20" style="position:absolute;left:1440;top:8254;height:1;width:9252;" filled="f" stroked="t" coordsize="21600,21600">
              <v:path arrowok="t"/>
              <v:fill on="f" focussize="0,0"/>
              <v:stroke weight="2.25pt" color="#FF0000"/>
              <v:imagedata o:title=""/>
              <o:lock v:ext="edit" aspectratio="f"/>
            </v:line>
            <v:shape id="_x0000_s2068" o:spid="_x0000_s2068" o:spt="75" alt="教育部文件" type="#_x0000_t75" style="position:absolute;left:2509;top:6185;height:1099;width:7081;" filled="f" o:preferrelative="t" stroked="f" coordsize="21600,21600">
              <v:path/>
              <v:fill on="f" focussize="0,0"/>
              <v:stroke on="f"/>
              <v:imagedata r:id="rId15" o:title="教育部文件"/>
              <o:lock v:ext="edit" aspectratio="t"/>
            </v:shape>
          </v:group>
        </w:pict>
      </w:r>
      <w:r>
        <w:rPr>
          <w:rFonts w:hint="eastAsia" w:ascii="仿宋_GB2312" w:eastAsia="仿宋_GB2312"/>
          <w:color w:val="000000"/>
          <w:sz w:val="28"/>
        </w:rPr>
        <w:t>附件3</w:t>
      </w:r>
    </w:p>
    <w:p/>
    <w:p/>
    <w:p/>
    <w:p/>
    <w:p/>
    <w:p/>
    <w:p/>
    <w:p/>
    <w:p/>
    <w:p>
      <w:pPr>
        <w:overflowPunct w:val="0"/>
        <w:snapToGrid w:val="0"/>
        <w:ind w:firstLine="1320" w:firstLineChars="300"/>
        <w:jc w:val="both"/>
        <w:rPr>
          <w:rFonts w:eastAsia="方正小标宋简体"/>
          <w:bCs/>
          <w:color w:val="000000" w:themeColor="text1"/>
          <w:sz w:val="44"/>
          <w:szCs w:val="44"/>
        </w:rPr>
      </w:pPr>
      <w:r>
        <w:rPr>
          <w:rFonts w:eastAsia="方正小标宋简体"/>
          <w:bCs/>
          <w:color w:val="000000" w:themeColor="text1"/>
          <w:sz w:val="44"/>
          <w:szCs w:val="44"/>
        </w:rPr>
        <w:t>教育部关于职业院校专业人才培养方案</w:t>
      </w:r>
    </w:p>
    <w:p>
      <w:pPr>
        <w:overflowPunct w:val="0"/>
        <w:snapToGrid w:val="0"/>
        <w:ind w:firstLine="1760" w:firstLineChars="400"/>
        <w:rPr>
          <w:rFonts w:eastAsia="仿宋_GB2312"/>
          <w:color w:val="000000"/>
          <w:sz w:val="30"/>
        </w:rPr>
      </w:pPr>
      <w:r>
        <w:rPr>
          <w:rFonts w:eastAsia="方正小标宋简体"/>
          <w:bCs/>
          <w:color w:val="000000" w:themeColor="text1"/>
          <w:sz w:val="44"/>
          <w:szCs w:val="44"/>
        </w:rPr>
        <w:t>制订与实施工作的指导意见</w:t>
      </w:r>
    </w:p>
    <w:p>
      <w:pPr>
        <w:overflowPunct w:val="0"/>
        <w:ind w:left="600" w:leftChars="300" w:firstLine="0" w:firstLineChars="0"/>
        <w:rPr>
          <w:rFonts w:eastAsia="仿宋_GB2312"/>
          <w:color w:val="000000"/>
          <w:sz w:val="30"/>
        </w:rPr>
      </w:pPr>
      <w:r>
        <w:rPr>
          <w:rFonts w:eastAsia="仿宋_GB2312"/>
          <w:color w:val="000000"/>
          <w:sz w:val="30"/>
        </w:rPr>
        <w:t>各省、自治区、直辖市教育厅（教委），各计划单列市教育局，新疆生产建设兵团教育局：</w:t>
      </w:r>
    </w:p>
    <w:p>
      <w:pPr>
        <w:overflowPunct w:val="0"/>
        <w:ind w:left="600" w:firstLine="600"/>
        <w:rPr>
          <w:rFonts w:eastAsia="仿宋_GB2312"/>
          <w:sz w:val="30"/>
        </w:rPr>
      </w:pPr>
      <w:r>
        <w:rPr>
          <w:rFonts w:eastAsia="仿宋_GB2312"/>
          <w:color w:val="000000"/>
          <w:sz w:val="30"/>
        </w:rPr>
        <w:t>专业人才培养方案是职业院校落实党和国家关于技术技能人才培养总体要求，组织开展教学活动、安排教学任务的规范性文件，是实施专业人才培养和开展质量评价的基本依据。党的十八大以来，职业教育教学改革不断深化，具有中国特色的国家教学标准体系框架不断完善，职业院校积极对接国家教学标准，优化专业人才培养方案，创新人才培养模式，办学水平和培养质量不断提高。但在实际工作中还一定程度存在着专业人才培养方案概念不够清晰、制订程序不够规范、内容更新不够及时、监督机制不够健全等问题。为落实《国家职业教育改革实施方案》，推进国家教学标准落地实施，提</w:t>
      </w:r>
      <w:r>
        <w:rPr>
          <w:rFonts w:eastAsia="仿宋_GB2312"/>
          <w:sz w:val="30"/>
        </w:rPr>
        <w:t>升职业教育质量，现就职业院校专业人才培养方案制订与实施工作提出如下意见。</w:t>
      </w:r>
    </w:p>
    <w:p>
      <w:pPr>
        <w:overflowPunct w:val="0"/>
        <w:ind w:left="600" w:firstLine="600"/>
        <w:rPr>
          <w:rFonts w:ascii="黑体" w:hAnsi="黑体" w:eastAsia="黑体"/>
          <w:sz w:val="30"/>
        </w:rPr>
      </w:pPr>
      <w:r>
        <w:rPr>
          <w:rFonts w:ascii="黑体" w:hAnsi="黑体" w:eastAsia="黑体"/>
          <w:sz w:val="30"/>
        </w:rPr>
        <w:t>一、总体要求</w:t>
      </w:r>
    </w:p>
    <w:p>
      <w:pPr>
        <w:overflowPunct w:val="0"/>
        <w:ind w:left="602" w:firstLine="602"/>
        <w:rPr>
          <w:rFonts w:ascii="楷体_GB2312" w:eastAsia="楷体_GB2312"/>
          <w:b/>
          <w:sz w:val="30"/>
        </w:rPr>
      </w:pPr>
      <w:r>
        <w:rPr>
          <w:rFonts w:hint="eastAsia" w:ascii="楷体_GB2312" w:eastAsia="楷体_GB2312"/>
          <w:b/>
          <w:sz w:val="30"/>
        </w:rPr>
        <w:t>（一）指导思想</w:t>
      </w:r>
    </w:p>
    <w:p>
      <w:pPr>
        <w:overflowPunct w:val="0"/>
        <w:ind w:left="600" w:firstLine="600"/>
        <w:rPr>
          <w:rFonts w:eastAsia="仿宋_GB2312"/>
          <w:sz w:val="30"/>
        </w:rPr>
      </w:pPr>
      <w:r>
        <w:rPr>
          <w:rFonts w:eastAsia="仿宋_GB2312"/>
          <w:sz w:val="30"/>
        </w:rPr>
        <w:t>以习近平新时代中国特色社会主义思想为指导，深入贯彻党的十九大精神，按照全国教育大会部署，落实立德树人根本任务，坚持面向市场、服务发展、促进就业的办学方向，健全德技并修、工学结合育人机制，构建德智体美劳全面发展的人才培养体系，突出职业教育的类型特点，深化产教融合、校企合作，推进教师、教材、教法改革，规范人才培养全过程，加快培养复合型技术技能人才。</w:t>
      </w:r>
    </w:p>
    <w:p>
      <w:pPr>
        <w:overflowPunct w:val="0"/>
        <w:ind w:left="602" w:firstLine="602"/>
        <w:rPr>
          <w:rFonts w:ascii="楷体_GB2312" w:eastAsia="楷体_GB2312"/>
          <w:b/>
          <w:sz w:val="30"/>
        </w:rPr>
      </w:pPr>
      <w:r>
        <w:rPr>
          <w:rFonts w:ascii="楷体_GB2312" w:eastAsia="楷体_GB2312"/>
          <w:b/>
          <w:sz w:val="30"/>
        </w:rPr>
        <w:t>（二）基本原则</w:t>
      </w:r>
    </w:p>
    <w:p>
      <w:pPr>
        <w:overflowPunct w:val="0"/>
        <w:ind w:left="602" w:firstLine="602"/>
        <w:rPr>
          <w:rFonts w:eastAsia="仿宋_GB2312"/>
          <w:b/>
          <w:color w:val="484848"/>
          <w:sz w:val="30"/>
        </w:rPr>
      </w:pPr>
      <w:r>
        <w:rPr>
          <w:rFonts w:eastAsia="仿宋_GB2312"/>
          <w:b/>
          <w:color w:val="484848"/>
          <w:sz w:val="30"/>
        </w:rPr>
        <w:t>——</w:t>
      </w:r>
      <w:r>
        <w:rPr>
          <w:rFonts w:eastAsia="仿宋_GB2312"/>
          <w:b/>
          <w:sz w:val="30"/>
        </w:rPr>
        <w:t>坚持育人为本，促进全面发展。</w:t>
      </w:r>
      <w:r>
        <w:rPr>
          <w:rFonts w:eastAsia="仿宋_GB2312"/>
          <w:sz w:val="30"/>
        </w:rPr>
        <w:t>全面推动习近平新时代中国特色社会主义思想进教材进课堂进头脑，积极培育和践行社会主义核心价值观。传授基础知识与培养专业能力并重，强化学生职业素养养成和专业技术积累，将专业精神、职业精神和工匠精神融入人才培养全过程。</w:t>
      </w:r>
    </w:p>
    <w:p>
      <w:pPr>
        <w:overflowPunct w:val="0"/>
        <w:ind w:left="602" w:firstLine="602"/>
        <w:rPr>
          <w:rFonts w:eastAsia="仿宋_GB2312"/>
          <w:sz w:val="30"/>
        </w:rPr>
      </w:pPr>
      <w:r>
        <w:rPr>
          <w:rFonts w:eastAsia="仿宋_GB2312"/>
          <w:b/>
          <w:color w:val="484848"/>
          <w:sz w:val="30"/>
        </w:rPr>
        <w:t>——</w:t>
      </w:r>
      <w:r>
        <w:rPr>
          <w:rFonts w:eastAsia="仿宋_GB2312"/>
          <w:b/>
          <w:sz w:val="30"/>
        </w:rPr>
        <w:t>坚持标准引领，确保科学规范。</w:t>
      </w:r>
      <w:r>
        <w:rPr>
          <w:rFonts w:eastAsia="仿宋_GB2312"/>
          <w:sz w:val="30"/>
        </w:rPr>
        <w:t>以职业教育国家教学标准为基本遵循，贯彻落实党和国家在课程设置、教学内容等方面的基本要求，强化专业人才培养方案的科学性、适应性和可操作性。</w:t>
      </w:r>
    </w:p>
    <w:p>
      <w:pPr>
        <w:overflowPunct w:val="0"/>
        <w:ind w:left="602" w:firstLine="602"/>
        <w:rPr>
          <w:rFonts w:eastAsia="仿宋_GB2312"/>
          <w:color w:val="000000"/>
          <w:sz w:val="30"/>
        </w:rPr>
      </w:pPr>
      <w:r>
        <w:rPr>
          <w:rFonts w:eastAsia="仿宋_GB2312"/>
          <w:b/>
          <w:color w:val="000000"/>
          <w:sz w:val="30"/>
        </w:rPr>
        <w:t>——坚持遵循规律，体现培养特色。</w:t>
      </w:r>
      <w:r>
        <w:rPr>
          <w:rFonts w:eastAsia="仿宋_GB2312"/>
          <w:color w:val="000000"/>
          <w:sz w:val="30"/>
        </w:rPr>
        <w:t>遵循职业教育、技术技能人才成长和学生身心发展规律，处理好公共基础课程与专业课程、理论教学与实践教学、学历证书与各类职业培训证书之间的关系，整体设计教学活动。</w:t>
      </w:r>
    </w:p>
    <w:p>
      <w:pPr>
        <w:overflowPunct w:val="0"/>
        <w:ind w:left="602" w:firstLine="602"/>
        <w:rPr>
          <w:rFonts w:eastAsia="仿宋_GB2312"/>
          <w:sz w:val="30"/>
        </w:rPr>
      </w:pPr>
      <w:r>
        <w:rPr>
          <w:rFonts w:eastAsia="仿宋_GB2312"/>
          <w:b/>
          <w:color w:val="484848"/>
          <w:sz w:val="30"/>
        </w:rPr>
        <w:t>——</w:t>
      </w:r>
      <w:r>
        <w:rPr>
          <w:rFonts w:eastAsia="仿宋_GB2312"/>
          <w:b/>
          <w:sz w:val="30"/>
        </w:rPr>
        <w:t>坚持完善机制，推动持续改进。</w:t>
      </w:r>
      <w:r>
        <w:rPr>
          <w:rFonts w:eastAsia="仿宋_GB2312"/>
          <w:sz w:val="30"/>
        </w:rPr>
        <w:t>紧跟产业发展趋势和行业人才需求，建立健全行业企业、第三方评价机构等多方参与的专业人才培养方案动态调整机制，强化教师参与教学和课程改革的效果评价与激励，做好人才培养质量评价与反馈。</w:t>
      </w:r>
    </w:p>
    <w:p>
      <w:pPr>
        <w:overflowPunct w:val="0"/>
        <w:ind w:left="600" w:firstLine="600"/>
        <w:rPr>
          <w:rFonts w:ascii="黑体" w:hAnsi="黑体" w:eastAsia="黑体"/>
          <w:sz w:val="30"/>
        </w:rPr>
      </w:pPr>
      <w:r>
        <w:rPr>
          <w:rFonts w:ascii="黑体" w:hAnsi="黑体" w:eastAsia="黑体"/>
          <w:sz w:val="30"/>
        </w:rPr>
        <w:t>二、主要内容及要求</w:t>
      </w:r>
    </w:p>
    <w:p>
      <w:pPr>
        <w:overflowPunct w:val="0"/>
        <w:ind w:left="600" w:firstLine="600"/>
        <w:rPr>
          <w:rFonts w:eastAsia="仿宋_GB2312"/>
          <w:sz w:val="30"/>
        </w:rPr>
      </w:pPr>
      <w:r>
        <w:rPr>
          <w:rFonts w:eastAsia="仿宋_GB2312"/>
          <w:sz w:val="30"/>
        </w:rPr>
        <w:t>专业人才培养方案应当体现专业教学标准规定的各要素和人才培养的主要环节要求，包括专业名称及代码、入学要求、修业年限、职业面向、培养目标与培养规格、课程设置、学时安排、教学进程总体安排、实施保障、毕业要求等内容，并附教学进程安排表等。学校可根据区域经济社会发展需求、办学特色和专业实际制订专业人才培养方案，但须满足以下基本要求。</w:t>
      </w:r>
    </w:p>
    <w:p>
      <w:pPr>
        <w:overflowPunct w:val="0"/>
        <w:ind w:left="602" w:firstLine="602"/>
        <w:rPr>
          <w:rFonts w:eastAsia="仿宋_GB2312"/>
          <w:sz w:val="30"/>
        </w:rPr>
      </w:pPr>
      <w:r>
        <w:rPr>
          <w:rFonts w:ascii="楷体_GB2312" w:eastAsia="楷体_GB2312"/>
          <w:b/>
          <w:sz w:val="30"/>
        </w:rPr>
        <w:t>（一）明确培养目标。</w:t>
      </w:r>
      <w:r>
        <w:rPr>
          <w:rFonts w:eastAsia="仿宋_GB2312"/>
          <w:sz w:val="30"/>
        </w:rPr>
        <w:t>依据国家有关规定、公共基础课程标准和专业教学标准，结合学校办学层次和办学定位，科学合理确定专业培养目标，明确学生的知识、能力和素质要求，保证培养规格。要注重学用相长、知行合一，着力培养学生的创新精神和实践能力，增强学生的职业适应能力和可持续发展能力。</w:t>
      </w:r>
    </w:p>
    <w:p>
      <w:pPr>
        <w:overflowPunct w:val="0"/>
        <w:ind w:left="600" w:firstLine="600"/>
        <w:rPr>
          <w:rFonts w:eastAsia="仿宋_GB2312"/>
          <w:sz w:val="30"/>
        </w:rPr>
      </w:pPr>
      <w:r>
        <w:rPr>
          <w:rFonts w:eastAsia="仿宋_GB2312"/>
          <w:sz w:val="30"/>
        </w:rPr>
        <w:t>坚持把立德树人作为根本任务，不断加强学校思想政治工作，持续深化“三全育人”综合改革，把立德树人融入思想道德教育、文化知识教育、技术技能培养、社会实践教育各环节，推动思想政治工作体系贯穿教学体系、教材体系、管理体系，切实提升思想政治工作质量。</w:t>
      </w:r>
    </w:p>
    <w:p>
      <w:pPr>
        <w:overflowPunct w:val="0"/>
        <w:ind w:left="602" w:firstLine="602"/>
        <w:rPr>
          <w:rFonts w:eastAsia="仿宋_GB2312"/>
          <w:sz w:val="30"/>
        </w:rPr>
      </w:pPr>
      <w:r>
        <w:rPr>
          <w:rFonts w:hint="eastAsia" w:ascii="楷体_GB2312" w:eastAsia="楷体_GB2312"/>
          <w:b/>
          <w:sz w:val="30"/>
        </w:rPr>
        <w:t>（二）规范课程设置。</w:t>
      </w:r>
      <w:r>
        <w:rPr>
          <w:rFonts w:eastAsia="仿宋_GB2312"/>
          <w:sz w:val="30"/>
        </w:rPr>
        <w:t>课程设置分为公共基础课程和专业（技能）课程两类。</w:t>
      </w:r>
    </w:p>
    <w:p>
      <w:pPr>
        <w:overflowPunct w:val="0"/>
        <w:ind w:left="602" w:firstLine="602"/>
        <w:rPr>
          <w:rFonts w:eastAsia="仿宋_GB2312"/>
          <w:color w:val="FF0000"/>
          <w:sz w:val="30"/>
        </w:rPr>
      </w:pPr>
      <w:r>
        <w:rPr>
          <w:rFonts w:eastAsia="仿宋_GB2312"/>
          <w:b/>
          <w:sz w:val="30"/>
        </w:rPr>
        <w:t>1.严格按照国家有关规定开齐开足公共基础课程。</w:t>
      </w:r>
      <w:r>
        <w:rPr>
          <w:rFonts w:eastAsia="仿宋_GB2312"/>
          <w:sz w:val="30"/>
        </w:rPr>
        <w:t>中等职业学校应当将思想政治、语文、历史、数学、外语（英语等）、信息技术、体育与健康、艺术等列为公共基础必修课程，并将物理、化学、中华优秀传统文化、职业素养等课程列为必修课或限定选修课。高等职业学校应当将思想政治理论课、体育、军事课、心理健康教育等课程列为公共基础必修课程，并将马克思主义理论类课程、党史国史、中华优秀传统文化、职业发展与就业指导、创新创业教育、信息技术、语文、数学、外语、健康教育、美育课程、职业素养等列为必修课或限定选修课。</w:t>
      </w:r>
    </w:p>
    <w:p>
      <w:pPr>
        <w:overflowPunct w:val="0"/>
        <w:ind w:left="600" w:firstLine="600"/>
        <w:rPr>
          <w:rFonts w:eastAsia="仿宋_GB2312"/>
          <w:sz w:val="30"/>
        </w:rPr>
      </w:pPr>
      <w:r>
        <w:rPr>
          <w:rFonts w:eastAsia="仿宋_GB2312"/>
          <w:sz w:val="30"/>
        </w:rPr>
        <w:t>全面推动习近平新时代中国特色社会主义思想进课程，中等职业学校统一实施中等职业学校思想政治课程标准，高等职业学校按规定统一使用马克思主义理论研究和建设工程思政课、专业课教材。结合实习实训强化劳动教育，明确劳动教育时间，弘扬劳动精神、劳模精神，教育引导学生崇尚劳动、尊重劳动。推动中华优秀传统文化融入教育教学，加强革命文化和社会主义先进文化教育。深化体育、美育教学改革，促进学生身心健康，提高学生审美和人文素养。</w:t>
      </w:r>
    </w:p>
    <w:p>
      <w:pPr>
        <w:overflowPunct w:val="0"/>
        <w:ind w:left="600" w:firstLine="600"/>
        <w:rPr>
          <w:rFonts w:eastAsia="仿宋_GB2312"/>
          <w:sz w:val="30"/>
        </w:rPr>
      </w:pPr>
      <w:r>
        <w:rPr>
          <w:rFonts w:eastAsia="仿宋_GB2312"/>
          <w:sz w:val="30"/>
        </w:rPr>
        <w:t>根据有关文件规定开设关于国家安全教育、节能减排、绿色环保、金融知识、社会责任、人口资源、海洋科学、管理等人文素养、科学素养方面的选修课程、拓展课程或专题讲座（活动），并将有关知识融入到专业教学和社会实践中。学校还应当组织开展劳动实践、创新创业实践、志愿服务及其他社会公益活动。</w:t>
      </w:r>
    </w:p>
    <w:p>
      <w:pPr>
        <w:overflowPunct w:val="0"/>
        <w:ind w:left="602" w:firstLine="602"/>
        <w:rPr>
          <w:rFonts w:eastAsia="仿宋_GB2312"/>
          <w:b/>
          <w:sz w:val="30"/>
        </w:rPr>
      </w:pPr>
      <w:r>
        <w:rPr>
          <w:rFonts w:eastAsia="仿宋_GB2312"/>
          <w:b/>
          <w:sz w:val="30"/>
        </w:rPr>
        <w:t>2.科学设置专业（技能）课程。</w:t>
      </w:r>
      <w:r>
        <w:rPr>
          <w:rFonts w:eastAsia="仿宋_GB2312"/>
          <w:sz w:val="30"/>
        </w:rPr>
        <w:t>专业（技能）课程设置要与培养目标相适应，课程内容要紧密联系生产劳动实际和社会实践，突出应用性和实践性，注重学生职业能力和职业精神的培养。一般按照相应职业岗位（群）的能力要求，确定6—8门专业核心课程和若干门专业课程。</w:t>
      </w:r>
    </w:p>
    <w:p>
      <w:pPr>
        <w:overflowPunct w:val="0"/>
        <w:ind w:left="602" w:firstLine="602"/>
        <w:rPr>
          <w:rFonts w:eastAsia="仿宋_GB2312"/>
          <w:b/>
          <w:sz w:val="30"/>
        </w:rPr>
      </w:pPr>
      <w:r>
        <w:rPr>
          <w:rFonts w:ascii="楷体_GB2312" w:eastAsia="楷体_GB2312"/>
          <w:b/>
          <w:sz w:val="30"/>
        </w:rPr>
        <w:t>（三）合理安排学时。</w:t>
      </w:r>
      <w:r>
        <w:rPr>
          <w:rFonts w:eastAsia="仿宋_GB2312"/>
          <w:sz w:val="30"/>
        </w:rPr>
        <w:t>三年制中职、高职每学年安排40周教学活动。三年制中职总学时数不低于3000，公共基础课程学时一般占总学时的1/3；三年制高职总学时数不低于2500，鼓励学生自主学习，公共基础课程学时应当不少于总学时的1/4。中、高职选修课教学时数占总学时的比例均应当不少于10%。一般以16—18学时计为1个学分。鼓励将学生取得的行业企业认可度高的有关职业技能等级证书或已掌握的有关技术技能，按一定规则折算为学历教育相应学分。</w:t>
      </w:r>
    </w:p>
    <w:p>
      <w:pPr>
        <w:overflowPunct w:val="0"/>
        <w:ind w:left="602" w:firstLine="602"/>
        <w:rPr>
          <w:rFonts w:eastAsia="仿宋_GB2312"/>
          <w:sz w:val="30"/>
        </w:rPr>
      </w:pPr>
      <w:r>
        <w:rPr>
          <w:rFonts w:ascii="楷体_GB2312" w:eastAsia="楷体_GB2312"/>
          <w:b/>
          <w:sz w:val="30"/>
        </w:rPr>
        <w:t>（四）强化实践环节。</w:t>
      </w:r>
      <w:r>
        <w:rPr>
          <w:rFonts w:eastAsia="仿宋_GB2312"/>
          <w:sz w:val="30"/>
        </w:rPr>
        <w:t>加强实践性教学，实践性教学学时原则上占总学时数50%以上。要积极推行认知实习、跟岗实习、顶岗实习等多种实习方式，强化以育人为目标的实习实训考核评价。学生顶岗实习时间一般为6个月，可根据专业实际，集中或分阶段安排。推动职业院校建好用好各类实训基地，强化学生实习实训。统筹推进文化育人、实践育人、活动育人，广泛开展各类社会实践活动。</w:t>
      </w:r>
    </w:p>
    <w:p>
      <w:pPr>
        <w:overflowPunct w:val="0"/>
        <w:ind w:left="602" w:firstLine="602"/>
        <w:rPr>
          <w:rFonts w:eastAsia="仿宋_GB2312"/>
          <w:b/>
          <w:sz w:val="30"/>
        </w:rPr>
      </w:pPr>
      <w:r>
        <w:rPr>
          <w:rFonts w:ascii="楷体_GB2312" w:eastAsia="楷体_GB2312"/>
          <w:b/>
          <w:sz w:val="30"/>
        </w:rPr>
        <w:t>（五）严格毕业要求</w:t>
      </w:r>
      <w:r>
        <w:rPr>
          <w:rFonts w:eastAsia="仿宋_GB2312"/>
          <w:b/>
          <w:sz w:val="30"/>
        </w:rPr>
        <w:t>。</w:t>
      </w:r>
      <w:r>
        <w:rPr>
          <w:rFonts w:eastAsia="仿宋_GB2312"/>
          <w:sz w:val="30"/>
        </w:rPr>
        <w:t>根据国家有关规定、专业培养目标和培养规格，结合学校办学实际，进一步细化、明确学生毕业要求。严把毕业出口关，确保学生毕业时完成规定的学时学分和教学环节，结合专业实际组织毕业考试（考核），保证毕业要求的达成度，坚决杜绝“清考”行为。</w:t>
      </w:r>
    </w:p>
    <w:p>
      <w:pPr>
        <w:overflowPunct w:val="0"/>
        <w:ind w:left="602" w:firstLine="602"/>
        <w:rPr>
          <w:rFonts w:eastAsia="仿宋_GB2312"/>
          <w:sz w:val="30"/>
        </w:rPr>
      </w:pPr>
      <w:r>
        <w:rPr>
          <w:rFonts w:ascii="楷体_GB2312" w:eastAsia="楷体_GB2312"/>
          <w:b/>
          <w:sz w:val="30"/>
        </w:rPr>
        <w:t>（六）促进书证融通。</w:t>
      </w:r>
      <w:r>
        <w:rPr>
          <w:rFonts w:eastAsia="仿宋_GB2312"/>
          <w:sz w:val="30"/>
        </w:rPr>
        <w:t>鼓励学校积极参与实施1+X证书制度试点，将职业技能等级标准有关内容及要求有机融入专业课程教学，优化专业人才培养方案。同步参与职业教育国家“学分银行”试点，探索建立有关工作机制，对学历证书和职业技能等级证书所体现的学习成果进行登记和存储，计入个人学习账号，尝试学习成果的认定、积累与转换。</w:t>
      </w:r>
    </w:p>
    <w:p>
      <w:pPr>
        <w:overflowPunct w:val="0"/>
        <w:ind w:left="602" w:firstLine="602"/>
        <w:rPr>
          <w:rFonts w:eastAsia="仿宋_GB2312"/>
          <w:b/>
          <w:sz w:val="30"/>
        </w:rPr>
      </w:pPr>
      <w:r>
        <w:rPr>
          <w:rFonts w:ascii="楷体_GB2312" w:eastAsia="楷体_GB2312"/>
          <w:b/>
          <w:sz w:val="30"/>
        </w:rPr>
        <w:t>（七）加强分类指导</w:t>
      </w:r>
      <w:r>
        <w:rPr>
          <w:rFonts w:eastAsia="仿宋_GB2312"/>
          <w:b/>
          <w:sz w:val="30"/>
        </w:rPr>
        <w:t>。</w:t>
      </w:r>
      <w:r>
        <w:rPr>
          <w:rFonts w:eastAsia="仿宋_GB2312"/>
          <w:sz w:val="30"/>
        </w:rPr>
        <w:t>鼓励学校结合实际，制订体现不同学校和不同专业类别特点的专业人才培养方案。对退役军人、下岗职工、农民工和新型职业农民等群体单独编班，在标准不降的前提下，单独编制专业人才培养方案，实行弹性学习时间和多元教学模式。实行中高职贯通培养的专业，结合实际情况灵活制订相应的人才培养方案。</w:t>
      </w:r>
    </w:p>
    <w:p>
      <w:pPr>
        <w:overflowPunct w:val="0"/>
        <w:ind w:left="600" w:firstLine="600"/>
        <w:rPr>
          <w:rFonts w:ascii="黑体" w:hAnsi="黑体" w:eastAsia="黑体"/>
          <w:sz w:val="30"/>
        </w:rPr>
      </w:pPr>
      <w:r>
        <w:rPr>
          <w:rFonts w:ascii="黑体" w:hAnsi="黑体" w:eastAsia="黑体"/>
          <w:sz w:val="30"/>
        </w:rPr>
        <w:t>三、制订程序</w:t>
      </w:r>
    </w:p>
    <w:p>
      <w:pPr>
        <w:overflowPunct w:val="0"/>
        <w:ind w:left="602" w:firstLine="602"/>
        <w:rPr>
          <w:rFonts w:eastAsia="仿宋_GB2312"/>
          <w:sz w:val="30"/>
        </w:rPr>
      </w:pPr>
      <w:r>
        <w:rPr>
          <w:rFonts w:ascii="楷体_GB2312" w:eastAsia="楷体_GB2312"/>
          <w:b/>
          <w:sz w:val="30"/>
        </w:rPr>
        <w:t>（一）规划与设计</w:t>
      </w:r>
      <w:r>
        <w:rPr>
          <w:rFonts w:eastAsia="仿宋_GB2312"/>
          <w:b/>
          <w:sz w:val="30"/>
        </w:rPr>
        <w:t>。</w:t>
      </w:r>
      <w:r>
        <w:rPr>
          <w:rFonts w:eastAsia="仿宋_GB2312"/>
          <w:sz w:val="30"/>
        </w:rPr>
        <w:t>学校应当根据本意见要求，统筹规划，制定专业人才培养方案制（修）订的具体工作方案。成立由行业企业专家、教科研人员、一线教师和学生（毕业生）代表组成的专业建设委员会，共同做好专业人才培养方案制（修）订工作。</w:t>
      </w:r>
    </w:p>
    <w:p>
      <w:pPr>
        <w:overflowPunct w:val="0"/>
        <w:ind w:left="602" w:firstLine="602"/>
        <w:rPr>
          <w:rFonts w:eastAsia="仿宋_GB2312"/>
          <w:color w:val="000000"/>
          <w:sz w:val="30"/>
        </w:rPr>
      </w:pPr>
      <w:r>
        <w:rPr>
          <w:rFonts w:ascii="楷体_GB2312" w:eastAsia="楷体_GB2312"/>
          <w:b/>
          <w:sz w:val="30"/>
        </w:rPr>
        <w:t>（二）调研与分析。</w:t>
      </w:r>
      <w:r>
        <w:rPr>
          <w:rFonts w:eastAsia="仿宋_GB2312"/>
          <w:sz w:val="30"/>
        </w:rPr>
        <w:t>各专业建设委员会要做好行业企业调研、毕业生跟踪调研和在校生学情调研，分析产业发展趋势和行业企业人才需求，明确本专业面向的职业岗位（群）所需要的知识、能力、素质，</w:t>
      </w:r>
      <w:r>
        <w:rPr>
          <w:rFonts w:eastAsia="仿宋_GB2312"/>
          <w:color w:val="000000"/>
          <w:sz w:val="30"/>
        </w:rPr>
        <w:t>形成专业人才培养调研报告。</w:t>
      </w:r>
    </w:p>
    <w:p>
      <w:pPr>
        <w:overflowPunct w:val="0"/>
        <w:ind w:left="602" w:firstLine="602"/>
        <w:rPr>
          <w:rFonts w:eastAsia="仿宋_GB2312"/>
          <w:sz w:val="30"/>
        </w:rPr>
      </w:pPr>
      <w:r>
        <w:rPr>
          <w:rFonts w:ascii="楷体_GB2312" w:eastAsia="楷体_GB2312"/>
          <w:b/>
          <w:sz w:val="30"/>
        </w:rPr>
        <w:t>（三）起草与审定。</w:t>
      </w:r>
      <w:r>
        <w:rPr>
          <w:rFonts w:eastAsia="仿宋_GB2312"/>
          <w:sz w:val="30"/>
        </w:rPr>
        <w:t>结合实际落实专业教学标准，准确定位专业人才培养目标与培养规格，合理构建课程体系、安排教学进程，明确教学内容、教学方法、教学资源、教学条件保障等要求。学校组织由行业企业、教研机构、校内外一线教师和学生代表等参加的论证会，对专业人才培养方案进行论证后，提交校级党组织会议审定。</w:t>
      </w:r>
    </w:p>
    <w:p>
      <w:pPr>
        <w:widowControl/>
        <w:overflowPunct w:val="0"/>
        <w:ind w:left="602" w:firstLine="602"/>
        <w:rPr>
          <w:rFonts w:eastAsia="仿宋_GB2312"/>
          <w:sz w:val="30"/>
        </w:rPr>
      </w:pPr>
      <w:r>
        <w:rPr>
          <w:rFonts w:ascii="楷体_GB2312" w:eastAsia="楷体_GB2312"/>
          <w:b/>
          <w:sz w:val="30"/>
        </w:rPr>
        <w:t>（四）发布与更新。</w:t>
      </w:r>
      <w:r>
        <w:rPr>
          <w:rFonts w:eastAsia="仿宋_GB2312"/>
          <w:sz w:val="30"/>
        </w:rPr>
        <w:t>审定通过的专业人才培养方案，学校按程序发布执行，报上级教育行政部门备案，并通过学校网站等主动向社会公开，接受全社会监督。学校应建立健全专业人才培养方案实施情况的评价、反馈与改进机制，根据经济社会发展需求、技术发展趋势和教育教学改革实际，及时优化调整。</w:t>
      </w:r>
    </w:p>
    <w:p>
      <w:pPr>
        <w:overflowPunct w:val="0"/>
        <w:ind w:left="600" w:firstLine="600"/>
        <w:rPr>
          <w:rFonts w:ascii="黑体" w:hAnsi="黑体" w:eastAsia="黑体"/>
          <w:sz w:val="30"/>
        </w:rPr>
      </w:pPr>
      <w:r>
        <w:rPr>
          <w:rFonts w:ascii="黑体" w:hAnsi="黑体" w:eastAsia="黑体"/>
          <w:sz w:val="30"/>
        </w:rPr>
        <w:t>四、实施要求</w:t>
      </w:r>
    </w:p>
    <w:p>
      <w:pPr>
        <w:overflowPunct w:val="0"/>
        <w:ind w:left="602" w:firstLine="602"/>
        <w:rPr>
          <w:rFonts w:eastAsia="仿宋_GB2312"/>
          <w:sz w:val="30"/>
        </w:rPr>
      </w:pPr>
      <w:r>
        <w:rPr>
          <w:rFonts w:ascii="楷体_GB2312" w:eastAsia="楷体_GB2312"/>
          <w:b/>
          <w:sz w:val="30"/>
        </w:rPr>
        <w:t>（一）全面加强党的领导。</w:t>
      </w:r>
      <w:r>
        <w:rPr>
          <w:rFonts w:eastAsia="仿宋_GB2312"/>
          <w:sz w:val="30"/>
        </w:rPr>
        <w:t>加强党的领导是做好职业院校专业人才培养方案制订与实施工作的根本保证。职业院校在地方党委领导下，坚持以习近平新时代中国特色社会主义思想为指导，切实加强对专业人才培养方案制订与实施工作的领导。职业院校校级党组织会议和校长办公会要定期研究，书记、校长及分管负责人要经常性研究专业人才培养方案制订与实施。职业院校党组织负责人、校长是专业人才培养方案制订与实施的第一责任人，要把主要精力放到教育教学工作上来。</w:t>
      </w:r>
    </w:p>
    <w:p>
      <w:pPr>
        <w:overflowPunct w:val="0"/>
        <w:ind w:left="602" w:firstLine="602"/>
        <w:rPr>
          <w:rFonts w:eastAsia="仿宋_GB2312"/>
          <w:sz w:val="30"/>
        </w:rPr>
      </w:pPr>
      <w:r>
        <w:rPr>
          <w:rFonts w:ascii="楷体_GB2312" w:eastAsia="楷体_GB2312"/>
          <w:b/>
          <w:sz w:val="30"/>
        </w:rPr>
        <w:t>（二）强化课程思政</w:t>
      </w:r>
      <w:r>
        <w:rPr>
          <w:rFonts w:eastAsia="仿宋_GB2312"/>
          <w:b/>
          <w:sz w:val="30"/>
        </w:rPr>
        <w:t>。</w:t>
      </w:r>
      <w:r>
        <w:rPr>
          <w:rFonts w:eastAsia="仿宋_GB2312"/>
          <w:sz w:val="30"/>
        </w:rPr>
        <w:t>积极构建“思政课程+课程思政”大格局，推进全员全过程全方位“三全育人”，实现思想政治教育与技术技能培养的有机统一。结合职业院校学生特点，创新思政课程教学模式。强化专业课教师立德树人意识，结合不同专业人才培养特点和专业能力素质要求，梳理每一门课程蕴含的思想政治教育元素，发挥专业课程承载的思想政治教育功能，推动专业课教学与思想政治理论课教学紧密结合、同向同行。</w:t>
      </w:r>
    </w:p>
    <w:p>
      <w:pPr>
        <w:overflowPunct w:val="0"/>
        <w:ind w:left="602" w:firstLine="602"/>
        <w:rPr>
          <w:rFonts w:eastAsia="仿宋_GB2312"/>
          <w:sz w:val="30"/>
        </w:rPr>
      </w:pPr>
      <w:r>
        <w:rPr>
          <w:rFonts w:ascii="楷体_GB2312" w:eastAsia="楷体_GB2312"/>
          <w:b/>
          <w:sz w:val="30"/>
        </w:rPr>
        <w:t>（三）组织开发专业课程标准和教案</w:t>
      </w:r>
      <w:r>
        <w:rPr>
          <w:rFonts w:eastAsia="仿宋_GB2312"/>
          <w:b/>
          <w:sz w:val="30"/>
        </w:rPr>
        <w:t>。</w:t>
      </w:r>
      <w:r>
        <w:rPr>
          <w:rFonts w:eastAsia="仿宋_GB2312"/>
          <w:sz w:val="30"/>
        </w:rPr>
        <w:t>要根据专业人才培养方案总体要求，制（修）订专业课程标准，明确课程目标，优化课程内容，规范教学过程，及时将新技术、新工艺、新规范纳入课程标准和教学内容。要指导教师准确把握课程教学要求，规范编写、严格执行教案，做好课程总体设计，按程序选用教材，合理运用各类教学资源，做好教学组织实施。</w:t>
      </w:r>
    </w:p>
    <w:p>
      <w:pPr>
        <w:overflowPunct w:val="0"/>
        <w:ind w:left="602" w:firstLine="602"/>
        <w:rPr>
          <w:rFonts w:eastAsia="仿宋_GB2312"/>
          <w:sz w:val="30"/>
        </w:rPr>
      </w:pPr>
      <w:r>
        <w:rPr>
          <w:rFonts w:ascii="楷体_GB2312" w:eastAsia="楷体_GB2312"/>
          <w:b/>
          <w:sz w:val="30"/>
        </w:rPr>
        <w:t>（四）深化教师、教材、教法改革</w:t>
      </w:r>
      <w:r>
        <w:rPr>
          <w:rFonts w:eastAsia="仿宋_GB2312"/>
          <w:b/>
          <w:sz w:val="30"/>
        </w:rPr>
        <w:t>。</w:t>
      </w:r>
      <w:r>
        <w:rPr>
          <w:rFonts w:eastAsia="仿宋_GB2312"/>
          <w:sz w:val="30"/>
        </w:rPr>
        <w:t>建设符合项目式、模块化教学需要的教学创新团队，不断优化教师能力结构。健全教材选用制度，选用体现新技术、新工艺、新规范等的高质量教材，引入典型生产案例。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pPr>
        <w:overflowPunct w:val="0"/>
        <w:ind w:left="602" w:firstLine="602"/>
        <w:rPr>
          <w:rFonts w:eastAsia="仿宋_GB2312"/>
          <w:sz w:val="30"/>
        </w:rPr>
      </w:pPr>
      <w:r>
        <w:rPr>
          <w:rFonts w:ascii="楷体_GB2312" w:eastAsia="楷体_GB2312"/>
          <w:b/>
          <w:sz w:val="30"/>
        </w:rPr>
        <w:t>（五）推进信息技术与教学有机融合</w:t>
      </w:r>
      <w:r>
        <w:rPr>
          <w:rFonts w:eastAsia="仿宋_GB2312"/>
          <w:b/>
          <w:sz w:val="30"/>
        </w:rPr>
        <w:t>。</w:t>
      </w:r>
      <w:r>
        <w:rPr>
          <w:rFonts w:eastAsia="仿宋_GB2312"/>
          <w:sz w:val="30"/>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pPr>
        <w:overflowPunct w:val="0"/>
        <w:ind w:left="602" w:firstLine="602"/>
        <w:rPr>
          <w:rFonts w:eastAsia="仿宋_GB2312"/>
          <w:sz w:val="30"/>
        </w:rPr>
      </w:pPr>
      <w:r>
        <w:rPr>
          <w:rFonts w:ascii="楷体_GB2312" w:eastAsia="楷体_GB2312"/>
          <w:b/>
          <w:sz w:val="30"/>
        </w:rPr>
        <w:t>（六）改进学习过程管理与评价</w:t>
      </w:r>
      <w:r>
        <w:rPr>
          <w:rFonts w:eastAsia="仿宋_GB2312"/>
          <w:b/>
          <w:sz w:val="30"/>
        </w:rPr>
        <w:t>。</w:t>
      </w:r>
      <w:r>
        <w:rPr>
          <w:rFonts w:eastAsia="仿宋_GB2312"/>
          <w:sz w:val="30"/>
        </w:rPr>
        <w:t>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pPr>
        <w:overflowPunct w:val="0"/>
        <w:ind w:left="600" w:firstLine="600"/>
        <w:rPr>
          <w:rFonts w:ascii="黑体" w:hAnsi="黑体" w:eastAsia="黑体"/>
          <w:sz w:val="30"/>
        </w:rPr>
      </w:pPr>
      <w:r>
        <w:rPr>
          <w:rFonts w:ascii="黑体" w:hAnsi="黑体" w:eastAsia="黑体"/>
          <w:sz w:val="30"/>
        </w:rPr>
        <w:t>五、监督与指导</w:t>
      </w:r>
    </w:p>
    <w:p>
      <w:pPr>
        <w:overflowPunct w:val="0"/>
        <w:ind w:left="600" w:firstLine="600"/>
        <w:rPr>
          <w:rFonts w:eastAsia="仿宋_GB2312"/>
          <w:sz w:val="30"/>
        </w:rPr>
      </w:pPr>
      <w:r>
        <w:rPr>
          <w:rFonts w:eastAsia="仿宋_GB2312"/>
          <w:sz w:val="30"/>
        </w:rPr>
        <w:t>国务院教育行政部门负责定期修订发布中职、高职专业目录，制订发布职业教育国家教学标准，宏观指导专业人才培养方案制订与实施工作。省级教育行政部门要结合区域实际进一步提出指导意见或具体要求，推动国家教学标准落地实施；要建立抽查制度，对本地区职业院校专业人才培养方案制订、公开和实施情况进行定期检查评价，并公布检查结果。市级教育行政部门负责指导、检查、监督本地区中等职业学校专业人才培养方案制订与实施工作，并做好备案和汇总。充分发挥地方职业教育教研机构的研究咨询作用，组织开展有关交流研讨活动，指导和参与本地区职业院校专业人才培养方案制订工作。鼓励产教融合型企业、产教融合实训基地等参与专业人才培养方案的制订和实施，发挥行业、企业、家长等的作用，形成多元监督机制。</w:t>
      </w:r>
    </w:p>
    <w:p>
      <w:pPr>
        <w:overflowPunct w:val="0"/>
        <w:ind w:left="600" w:firstLine="600"/>
        <w:rPr>
          <w:rFonts w:eastAsia="仿宋_GB2312"/>
          <w:sz w:val="30"/>
        </w:rPr>
      </w:pPr>
      <w:r>
        <w:rPr>
          <w:rFonts w:eastAsia="仿宋_GB2312"/>
          <w:sz w:val="30"/>
        </w:rPr>
        <w:t>《教育部关于制定中等职业学校教学计划的原则意见》（教职成〔2009〕2号）、《关于制订高职高专教育专业教学计划的原则意见》（教高〔2000〕2号）自本意见印发之日起停止执行。</w:t>
      </w:r>
    </w:p>
    <w:p>
      <w:pPr>
        <w:overflowPunct w:val="0"/>
        <w:ind w:firstLine="0"/>
        <w:rPr>
          <w:rFonts w:eastAsia="仿宋_GB2312"/>
          <w:sz w:val="30"/>
        </w:rPr>
      </w:pPr>
    </w:p>
    <w:p>
      <w:pPr>
        <w:spacing w:line="560" w:lineRule="exact"/>
        <w:ind w:firstLine="6300" w:firstLineChars="2100"/>
        <w:jc w:val="left"/>
        <w:rPr>
          <w:rFonts w:eastAsia="仿宋_GB2312"/>
          <w:color w:val="000000"/>
          <w:sz w:val="30"/>
        </w:rPr>
      </w:pPr>
      <w:r>
        <w:rPr>
          <w:rFonts w:eastAsia="仿宋_GB2312"/>
          <w:color w:val="000000"/>
          <w:sz w:val="30"/>
        </w:rPr>
        <w:t>教 育 部</w:t>
      </w:r>
    </w:p>
    <w:p>
      <w:pPr>
        <w:spacing w:line="560" w:lineRule="exact"/>
        <w:ind w:firstLine="0"/>
        <w:jc w:val="center"/>
        <w:rPr>
          <w:rFonts w:eastAsia="仿宋_GB2312"/>
          <w:color w:val="000000"/>
          <w:sz w:val="30"/>
        </w:rPr>
      </w:pPr>
      <w:r>
        <w:rPr>
          <w:rFonts w:eastAsia="仿宋_GB2312"/>
          <w:color w:val="000000"/>
          <w:sz w:val="30"/>
        </w:rPr>
        <w:t xml:space="preserve">                                    201</w:t>
      </w:r>
      <w:r>
        <w:rPr>
          <w:rFonts w:hint="eastAsia" w:eastAsia="仿宋_GB2312"/>
          <w:color w:val="000000"/>
          <w:sz w:val="30"/>
        </w:rPr>
        <w:t>9</w:t>
      </w:r>
      <w:r>
        <w:rPr>
          <w:rFonts w:eastAsia="仿宋_GB2312"/>
          <w:color w:val="000000"/>
          <w:sz w:val="30"/>
        </w:rPr>
        <w:t>年</w:t>
      </w:r>
      <w:r>
        <w:rPr>
          <w:rFonts w:hint="eastAsia" w:eastAsia="仿宋_GB2312"/>
          <w:color w:val="000000"/>
          <w:sz w:val="30"/>
        </w:rPr>
        <w:t>6</w:t>
      </w:r>
      <w:r>
        <w:rPr>
          <w:rFonts w:eastAsia="仿宋_GB2312"/>
          <w:color w:val="000000"/>
          <w:sz w:val="30"/>
        </w:rPr>
        <w:t>月</w:t>
      </w:r>
      <w:r>
        <w:rPr>
          <w:rFonts w:hint="eastAsia" w:eastAsia="仿宋_GB2312"/>
          <w:color w:val="000000"/>
          <w:sz w:val="30"/>
        </w:rPr>
        <w:t>5</w:t>
      </w:r>
      <w:r>
        <w:rPr>
          <w:rFonts w:eastAsia="仿宋_GB2312"/>
          <w:color w:val="000000"/>
          <w:sz w:val="30"/>
        </w:rPr>
        <w:t>日</w:t>
      </w:r>
    </w:p>
    <w:tbl>
      <w:tblPr>
        <w:tblStyle w:val="9"/>
        <w:tblpPr w:vertAnchor="page" w:horzAnchor="page" w:tblpX="1397" w:tblpY="11077"/>
        <w:tblW w:w="0" w:type="auto"/>
        <w:tblInd w:w="0" w:type="dxa"/>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0" w:type="dxa"/>
          <w:bottom w:w="0" w:type="dxa"/>
          <w:right w:w="0" w:type="dxa"/>
        </w:tblCellMar>
      </w:tblPr>
      <w:tblGrid>
        <w:gridCol w:w="8829"/>
      </w:tblGrid>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562" w:hRule="atLeast"/>
        </w:trPr>
        <w:tc>
          <w:tcPr>
            <w:tcW w:w="8829" w:type="dxa"/>
            <w:tcBorders>
              <w:top w:val="single" w:color="000000" w:sz="4" w:space="0"/>
              <w:bottom w:val="single" w:color="000000" w:sz="4" w:space="0"/>
            </w:tcBorders>
            <w:tcMar>
              <w:top w:w="0" w:type="dxa"/>
              <w:left w:w="108" w:type="dxa"/>
              <w:bottom w:w="0" w:type="dxa"/>
              <w:right w:w="108" w:type="dxa"/>
            </w:tcMar>
            <w:vAlign w:val="center"/>
          </w:tcPr>
          <w:p>
            <w:pPr>
              <w:snapToGrid w:val="0"/>
              <w:spacing w:line="300" w:lineRule="exact"/>
              <w:ind w:firstLine="0"/>
              <w:rPr>
                <w:rFonts w:eastAsia="仿宋_GB2312"/>
                <w:sz w:val="28"/>
              </w:rPr>
            </w:pPr>
            <w:r>
              <w:rPr>
                <w:rFonts w:eastAsia="仿宋_GB2312"/>
                <w:sz w:val="28"/>
              </w:rPr>
              <w:t>部内发送：有关部领导，办公厅</w:t>
            </w:r>
            <w:r>
              <w:rPr>
                <w:rFonts w:hint="eastAsia" w:eastAsia="仿宋_GB2312"/>
                <w:sz w:val="28"/>
              </w:rPr>
              <w:t>、教材局、教师司、体卫艺司、社科司、</w:t>
            </w:r>
            <w:r>
              <w:rPr>
                <w:rFonts w:eastAsia="仿宋_GB2312"/>
                <w:sz w:val="28"/>
              </w:rPr>
              <w:tab/>
            </w:r>
            <w:r>
              <w:rPr>
                <w:rFonts w:hint="eastAsia" w:eastAsia="仿宋_GB2312"/>
                <w:sz w:val="28"/>
              </w:rPr>
              <w:t xml:space="preserve">       学生司</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493" w:hRule="atLeast"/>
        </w:trPr>
        <w:tc>
          <w:tcPr>
            <w:tcW w:w="8829" w:type="dxa"/>
            <w:tcBorders>
              <w:top w:val="single" w:color="000000" w:sz="4" w:space="0"/>
              <w:bottom w:val="single" w:color="000000" w:sz="4" w:space="0"/>
            </w:tcBorders>
            <w:tcMar>
              <w:top w:w="0" w:type="dxa"/>
              <w:left w:w="108" w:type="dxa"/>
              <w:bottom w:w="0" w:type="dxa"/>
              <w:right w:w="108" w:type="dxa"/>
            </w:tcMar>
            <w:vAlign w:val="center"/>
          </w:tcPr>
          <w:p>
            <w:pPr>
              <w:spacing w:line="300" w:lineRule="exact"/>
              <w:ind w:firstLine="0"/>
              <w:rPr>
                <w:rFonts w:eastAsia="仿宋_GB2312"/>
                <w:sz w:val="28"/>
              </w:rPr>
            </w:pPr>
            <w:r>
              <w:rPr>
                <w:rFonts w:eastAsia="仿宋_GB2312"/>
                <w:sz w:val="28"/>
              </w:rPr>
              <w:t>教育部办公厅                             201</w:t>
            </w:r>
            <w:r>
              <w:rPr>
                <w:rFonts w:hint="eastAsia" w:eastAsia="仿宋_GB2312"/>
                <w:sz w:val="28"/>
              </w:rPr>
              <w:t>9</w:t>
            </w:r>
            <w:r>
              <w:rPr>
                <w:rFonts w:eastAsia="仿宋_GB2312"/>
                <w:sz w:val="28"/>
              </w:rPr>
              <w:t>年</w:t>
            </w:r>
            <w:r>
              <w:rPr>
                <w:rFonts w:hint="eastAsia" w:eastAsia="仿宋_GB2312"/>
                <w:sz w:val="28"/>
              </w:rPr>
              <w:t>6</w:t>
            </w:r>
            <w:r>
              <w:rPr>
                <w:rFonts w:eastAsia="仿宋_GB2312"/>
                <w:sz w:val="28"/>
              </w:rPr>
              <w:t>月</w:t>
            </w:r>
            <w:r>
              <w:rPr>
                <w:rFonts w:hint="eastAsia" w:eastAsia="仿宋_GB2312"/>
                <w:sz w:val="28"/>
              </w:rPr>
              <w:t>11</w:t>
            </w:r>
            <w:r>
              <w:rPr>
                <w:rFonts w:eastAsia="仿宋_GB2312"/>
                <w:sz w:val="28"/>
              </w:rPr>
              <w:t>日印发</w:t>
            </w:r>
          </w:p>
        </w:tc>
      </w:tr>
    </w:tbl>
    <w:p>
      <w:pPr>
        <w:widowControl/>
        <w:snapToGrid w:val="0"/>
        <w:ind w:firstLine="0"/>
        <w:jc w:val="left"/>
        <w:rPr>
          <w:sz w:val="21"/>
        </w:rPr>
      </w:pPr>
    </w:p>
    <w:p>
      <w:pPr>
        <w:widowControl/>
        <w:snapToGrid w:val="0"/>
        <w:ind w:firstLine="0"/>
        <w:jc w:val="left"/>
        <w:rPr>
          <w:sz w:val="21"/>
        </w:rPr>
      </w:pPr>
    </w:p>
    <w:p>
      <w:pPr>
        <w:widowControl/>
        <w:snapToGrid w:val="0"/>
        <w:ind w:firstLine="0"/>
        <w:jc w:val="left"/>
        <w:rPr>
          <w:sz w:val="21"/>
        </w:rPr>
      </w:pPr>
    </w:p>
    <w:p>
      <w:pPr>
        <w:widowControl/>
        <w:snapToGrid w:val="0"/>
        <w:ind w:firstLine="0"/>
        <w:jc w:val="left"/>
        <w:rPr>
          <w:sz w:val="21"/>
        </w:rPr>
      </w:pPr>
    </w:p>
    <w:p>
      <w:pPr>
        <w:widowControl/>
        <w:snapToGrid w:val="0"/>
        <w:ind w:firstLine="0"/>
        <w:jc w:val="left"/>
        <w:rPr>
          <w:rFonts w:hint="eastAsia" w:ascii="仿宋_GB2312" w:eastAsia="仿宋_GB2312"/>
          <w:color w:val="000000"/>
          <w:sz w:val="28"/>
        </w:rPr>
      </w:pPr>
      <w:r>
        <w:rPr>
          <w:rFonts w:hint="eastAsia" w:ascii="仿宋_GB2312" w:eastAsia="仿宋_GB2312"/>
          <w:color w:val="000000"/>
          <w:sz w:val="28"/>
        </w:rPr>
        <w:t xml:space="preserve">附件4 </w:t>
      </w:r>
    </w:p>
    <w:p>
      <w:pPr>
        <w:pStyle w:val="2"/>
        <w:rPr>
          <w:rFonts w:hint="eastAsia" w:ascii="仿宋_GB2312" w:eastAsia="仿宋_GB2312"/>
          <w:color w:val="000000"/>
          <w:sz w:val="28"/>
        </w:rPr>
      </w:pPr>
    </w:p>
    <w:p>
      <w:pPr>
        <w:pStyle w:val="2"/>
        <w:rPr>
          <w:rFonts w:hint="eastAsia" w:ascii="仿宋_GB2312" w:eastAsia="仿宋_GB2312"/>
          <w:color w:val="000000"/>
          <w:sz w:val="28"/>
        </w:rPr>
      </w:pPr>
    </w:p>
    <w:p>
      <w:pPr>
        <w:widowControl/>
        <w:ind w:firstLine="0"/>
        <w:jc w:val="left"/>
        <w:rPr>
          <w:sz w:val="21"/>
        </w:rPr>
      </w:pPr>
    </w:p>
    <w:p>
      <w:pPr>
        <w:widowControl/>
        <w:snapToGrid w:val="0"/>
        <w:ind w:firstLine="0"/>
        <w:jc w:val="left"/>
        <w:rPr>
          <w:sz w:val="21"/>
        </w:rPr>
      </w:pPr>
      <w:r>
        <w:rPr>
          <w:sz w:val="21"/>
        </w:rPr>
        <w:drawing>
          <wp:anchor distT="0" distB="0" distL="114300" distR="114300" simplePos="0" relativeHeight="251662336" behindDoc="0" locked="0" layoutInCell="1" allowOverlap="1">
            <wp:simplePos x="0" y="0"/>
            <wp:positionH relativeFrom="column">
              <wp:posOffset>519430</wp:posOffset>
            </wp:positionH>
            <wp:positionV relativeFrom="paragraph">
              <wp:posOffset>114935</wp:posOffset>
            </wp:positionV>
            <wp:extent cx="4684395" cy="619125"/>
            <wp:effectExtent l="0" t="0" r="1905" b="9525"/>
            <wp:wrapNone/>
            <wp:docPr id="14" name="图片 9" descr="1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descr="1111-3"/>
                    <pic:cNvPicPr>
                      <a:picLocks noChangeAspect="1"/>
                    </pic:cNvPicPr>
                  </pic:nvPicPr>
                  <pic:blipFill>
                    <a:blip r:embed="rId16"/>
                    <a:stretch>
                      <a:fillRect/>
                    </a:stretch>
                  </pic:blipFill>
                  <pic:spPr>
                    <a:xfrm>
                      <a:off x="0" y="0"/>
                      <a:ext cx="4684395" cy="619125"/>
                    </a:xfrm>
                    <a:prstGeom prst="rect">
                      <a:avLst/>
                    </a:prstGeom>
                    <a:noFill/>
                    <a:ln>
                      <a:noFill/>
                    </a:ln>
                  </pic:spPr>
                </pic:pic>
              </a:graphicData>
            </a:graphic>
          </wp:anchor>
        </w:drawing>
      </w:r>
    </w:p>
    <w:p>
      <w:pPr>
        <w:widowControl/>
        <w:snapToGrid w:val="0"/>
        <w:ind w:firstLine="0"/>
        <w:jc w:val="left"/>
        <w:rPr>
          <w:sz w:val="21"/>
        </w:rPr>
      </w:pPr>
    </w:p>
    <w:p>
      <w:pPr>
        <w:widowControl/>
        <w:snapToGrid w:val="0"/>
        <w:ind w:firstLine="0"/>
        <w:jc w:val="left"/>
        <w:rPr>
          <w:sz w:val="21"/>
        </w:rPr>
      </w:pPr>
    </w:p>
    <w:p>
      <w:pPr>
        <w:ind w:firstLine="0"/>
        <w:rPr>
          <w:sz w:val="21"/>
        </w:rPr>
      </w:pPr>
    </w:p>
    <w:p>
      <w:pPr>
        <w:ind w:firstLine="0"/>
        <w:rPr>
          <w:sz w:val="21"/>
        </w:rPr>
      </w:pPr>
    </w:p>
    <w:p>
      <w:pPr>
        <w:ind w:firstLine="0"/>
        <w:rPr>
          <w:sz w:val="21"/>
        </w:rPr>
      </w:pPr>
    </w:p>
    <w:p>
      <w:pPr>
        <w:ind w:firstLine="0"/>
        <w:jc w:val="center"/>
        <w:rPr>
          <w:sz w:val="21"/>
        </w:rPr>
      </w:pPr>
      <w:r>
        <w:rPr>
          <w:rFonts w:hint="eastAsia" w:ascii="仿宋_GB2312" w:eastAsia="仿宋_GB2312"/>
          <w:color w:val="000000"/>
          <w:sz w:val="30"/>
        </w:rPr>
        <w:t>教职成厅</w:t>
      </w:r>
      <w:r>
        <w:rPr>
          <w:rFonts w:hint="eastAsia" w:ascii="仿宋_GB2312" w:eastAsia="仿宋_GB2312"/>
          <w:sz w:val="30"/>
        </w:rPr>
        <w:t>〔2019〕6号</w:t>
      </w:r>
    </w:p>
    <w:p>
      <w:pPr>
        <w:ind w:firstLine="0"/>
        <w:rPr>
          <w:rFonts w:eastAsia="仿宋_GB2312"/>
          <w:sz w:val="32"/>
        </w:rPr>
      </w:pPr>
      <w:r>
        <w:rPr>
          <w:sz w:val="21"/>
        </w:rPr>
        <w:pict>
          <v:line id="_x0000_s2050" o:spid="_x0000_s2050" o:spt="20" style="position:absolute;left:0pt;margin-left:19.95pt;margin-top:2.7pt;height:0.05pt;width:443.35pt;z-index:251663360;mso-width-relative:page;mso-height-relative:page;" stroked="t" coordsize="21600,21600" o:gfxdata="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Vzmj9UAAAAGAQAADwAAAAAAAAABACAAAAAiAAAAZHJzL2Rvd25yZXYueG1sUEsB&#10;AhQAFAAAAAgAh07iQKOOdCX4AQAA6wMAAA4AAAAAAAAAAQAgAAAAJAEAAGRycy9lMm9Eb2MueG1s&#10;UEsFBgAAAAAGAAYAWQEAAI4FAAAAAA==&#10;">
            <v:path arrowok="t"/>
            <v:fill focussize="0,0"/>
            <v:stroke weight="2.25pt" color="#FF0000"/>
            <v:imagedata o:title=""/>
            <o:lock v:ext="edit"/>
          </v:line>
        </w:pict>
      </w:r>
    </w:p>
    <w:p>
      <w:pPr>
        <w:overflowPunct w:val="0"/>
        <w:snapToGrid w:val="0"/>
        <w:spacing w:line="460" w:lineRule="exact"/>
        <w:ind w:firstLine="0"/>
        <w:jc w:val="center"/>
        <w:rPr>
          <w:rFonts w:eastAsia="方正小标宋简体"/>
          <w:spacing w:val="-6"/>
          <w:sz w:val="44"/>
        </w:rPr>
      </w:pPr>
      <w:r>
        <w:rPr>
          <w:rFonts w:eastAsia="方正小标宋简体"/>
          <w:spacing w:val="-6"/>
          <w:sz w:val="44"/>
        </w:rPr>
        <w:t>教育部办公厅关于印发《中等职业学校</w:t>
      </w:r>
    </w:p>
    <w:p>
      <w:pPr>
        <w:overflowPunct w:val="0"/>
        <w:snapToGrid w:val="0"/>
        <w:spacing w:line="460" w:lineRule="exact"/>
        <w:ind w:firstLine="0"/>
        <w:jc w:val="center"/>
        <w:rPr>
          <w:rFonts w:eastAsia="楷体_GB2312"/>
          <w:b/>
          <w:sz w:val="44"/>
        </w:rPr>
      </w:pPr>
      <w:r>
        <w:rPr>
          <w:rFonts w:eastAsia="方正小标宋简体"/>
          <w:spacing w:val="-6"/>
          <w:sz w:val="44"/>
        </w:rPr>
        <w:t>公共基础课程方案》的通知</w:t>
      </w:r>
    </w:p>
    <w:p>
      <w:pPr>
        <w:overflowPunct w:val="0"/>
        <w:autoSpaceDE w:val="0"/>
        <w:spacing w:line="460" w:lineRule="exact"/>
        <w:ind w:firstLine="0"/>
        <w:jc w:val="center"/>
        <w:rPr>
          <w:rFonts w:eastAsia="方正仿宋简体"/>
          <w:color w:val="000000"/>
          <w:sz w:val="32"/>
        </w:rPr>
      </w:pPr>
    </w:p>
    <w:p>
      <w:pPr>
        <w:overflowPunct w:val="0"/>
        <w:autoSpaceDE w:val="0"/>
        <w:spacing w:line="460" w:lineRule="exact"/>
        <w:ind w:firstLine="0"/>
        <w:rPr>
          <w:rFonts w:ascii="仿宋_GB2312" w:eastAsia="仿宋_GB2312"/>
          <w:color w:val="000000"/>
          <w:sz w:val="32"/>
        </w:rPr>
      </w:pPr>
      <w:r>
        <w:rPr>
          <w:rFonts w:hint="eastAsia" w:ascii="仿宋_GB2312" w:eastAsia="仿宋_GB2312"/>
          <w:color w:val="000000"/>
          <w:sz w:val="32"/>
        </w:rPr>
        <w:t>各省、自治区、直辖市教育厅（教委），各计划单列市教育局，新疆生产建设兵团教育局：</w:t>
      </w:r>
    </w:p>
    <w:p>
      <w:pPr>
        <w:overflowPunct w:val="0"/>
        <w:spacing w:line="460" w:lineRule="exact"/>
        <w:ind w:left="640" w:firstLine="640"/>
        <w:rPr>
          <w:rFonts w:ascii="仿宋_GB2312" w:eastAsia="仿宋_GB2312"/>
          <w:sz w:val="32"/>
        </w:rPr>
      </w:pPr>
      <w:r>
        <w:rPr>
          <w:rFonts w:hint="eastAsia" w:ascii="仿宋_GB2312" w:eastAsia="仿宋_GB2312"/>
          <w:sz w:val="32"/>
        </w:rPr>
        <w:t>为贯彻全国教育大会精神，落实《国家职业教育改革实施方案》，深化中等职业学校公共基础课程改革，培养德智体美劳全面发展的高素质劳动者和技术技能人才，特制定《中等职业学校公共基础课程方案》，现印发给你们。各地要指导区域内中等职业学校认真贯彻实施，开齐开足开好公共基础课程，深化教师、教材、教法改革，不断提升人才培养质量。</w:t>
      </w:r>
    </w:p>
    <w:p>
      <w:pPr>
        <w:spacing w:after="312"/>
        <w:ind w:right="4" w:firstLine="0"/>
        <w:rPr>
          <w:rFonts w:ascii="仿宋_GB2312" w:hAnsi="方正小标宋简体" w:eastAsia="仿宋_GB2312"/>
          <w:sz w:val="36"/>
        </w:rPr>
      </w:pPr>
    </w:p>
    <w:p>
      <w:pPr>
        <w:spacing w:line="560" w:lineRule="atLeast"/>
        <w:ind w:left="0" w:firstLine="6000" w:firstLineChars="2000"/>
        <w:rPr>
          <w:rFonts w:eastAsia="仿宋_GB2312"/>
          <w:sz w:val="30"/>
        </w:rPr>
      </w:pPr>
      <w:r>
        <w:rPr>
          <w:rFonts w:hint="eastAsia" w:eastAsia="仿宋_GB2312"/>
          <w:sz w:val="30"/>
        </w:rPr>
        <w:t>教育部办公厅</w:t>
      </w:r>
    </w:p>
    <w:p>
      <w:pPr>
        <w:spacing w:line="560" w:lineRule="atLeast"/>
        <w:ind w:left="0" w:firstLine="5700" w:firstLineChars="1900"/>
        <w:rPr>
          <w:rFonts w:eastAsia="仿宋_GB2312"/>
          <w:sz w:val="30"/>
        </w:rPr>
      </w:pPr>
      <w:r>
        <w:rPr>
          <w:rFonts w:eastAsia="仿宋_GB2312"/>
          <w:sz w:val="30"/>
        </w:rPr>
        <w:t>201</w:t>
      </w:r>
      <w:r>
        <w:rPr>
          <w:rFonts w:hint="eastAsia" w:eastAsia="仿宋_GB2312"/>
          <w:sz w:val="30"/>
        </w:rPr>
        <w:t>9年10月22日</w:t>
      </w:r>
    </w:p>
    <w:p>
      <w:pPr>
        <w:spacing w:line="560" w:lineRule="atLeast"/>
        <w:ind w:left="4950" w:firstLine="4950"/>
        <w:sectPr>
          <w:footerReference r:id="rId9" w:type="default"/>
          <w:pgSz w:w="11906" w:h="16838"/>
          <w:pgMar w:top="1814" w:right="1531" w:bottom="1814" w:left="1531" w:header="851" w:footer="1673" w:gutter="0"/>
          <w:pgBorders>
            <w:top w:val="none" w:sz="0" w:space="0"/>
            <w:left w:val="none" w:sz="0" w:space="0"/>
            <w:bottom w:val="none" w:sz="0" w:space="0"/>
            <w:right w:val="none" w:sz="0" w:space="0"/>
          </w:pgBorders>
          <w:cols w:space="720" w:num="1"/>
          <w:docGrid w:type="lines" w:linePitch="312" w:charSpace="0"/>
        </w:sectPr>
      </w:pPr>
    </w:p>
    <w:p>
      <w:pPr>
        <w:overflowPunct w:val="0"/>
        <w:snapToGrid w:val="0"/>
        <w:ind w:firstLine="0"/>
        <w:jc w:val="center"/>
        <w:rPr>
          <w:rFonts w:ascii="方正小标宋简体" w:eastAsia="方正小标宋简体"/>
          <w:sz w:val="44"/>
        </w:rPr>
      </w:pPr>
      <w:r>
        <w:rPr>
          <w:rFonts w:hint="eastAsia" w:ascii="方正小标宋简体" w:eastAsia="方正小标宋简体"/>
          <w:sz w:val="44"/>
        </w:rPr>
        <w:t>中等职业学校公共基础课程方案</w:t>
      </w:r>
    </w:p>
    <w:p>
      <w:pPr>
        <w:overflowPunct w:val="0"/>
        <w:snapToGrid w:val="0"/>
        <w:ind w:firstLine="0"/>
        <w:jc w:val="center"/>
        <w:rPr>
          <w:rFonts w:ascii="楷体_GB2312" w:eastAsia="楷体_GB2312"/>
          <w:b/>
          <w:sz w:val="21"/>
        </w:rPr>
      </w:pPr>
    </w:p>
    <w:p>
      <w:pPr>
        <w:overflowPunct w:val="0"/>
        <w:snapToGrid w:val="0"/>
        <w:ind w:left="640" w:firstLine="640"/>
        <w:rPr>
          <w:rFonts w:ascii="仿宋_GB2312" w:eastAsia="仿宋_GB2312"/>
          <w:sz w:val="32"/>
        </w:rPr>
      </w:pPr>
      <w:r>
        <w:rPr>
          <w:rFonts w:hint="eastAsia" w:ascii="仿宋_GB2312" w:eastAsia="仿宋_GB2312"/>
          <w:sz w:val="32"/>
        </w:rPr>
        <w:t>公共基础课程是中等职业学校课程体系的重要组成部分，是培养学生思想政治素质、科学文化素养等的基本途径，对于促进学生可持续发展具有重要意义。为贯彻全国教育大会精神，落实《国家职业教育改革实施方案》，深化中等职业学校公共基础课程改革，培养德智体美劳全面发展的高素质劳动者和技术技能人才，特制定本方案。</w:t>
      </w:r>
    </w:p>
    <w:p>
      <w:pPr>
        <w:overflowPunct w:val="0"/>
        <w:snapToGrid w:val="0"/>
        <w:ind w:left="640" w:firstLine="640"/>
        <w:rPr>
          <w:rFonts w:ascii="黑体" w:hAnsi="黑体" w:eastAsia="黑体"/>
          <w:sz w:val="32"/>
        </w:rPr>
      </w:pPr>
      <w:r>
        <w:rPr>
          <w:rFonts w:hint="eastAsia" w:ascii="黑体" w:hAnsi="黑体" w:eastAsia="黑体"/>
          <w:sz w:val="32"/>
        </w:rPr>
        <w:t>一、适用范围</w:t>
      </w:r>
    </w:p>
    <w:p>
      <w:pPr>
        <w:overflowPunct w:val="0"/>
        <w:snapToGrid w:val="0"/>
        <w:ind w:left="640" w:firstLine="640"/>
        <w:rPr>
          <w:rFonts w:ascii="仿宋_GB2312" w:eastAsia="仿宋_GB2312"/>
          <w:sz w:val="32"/>
        </w:rPr>
      </w:pPr>
      <w:r>
        <w:rPr>
          <w:rFonts w:hint="eastAsia" w:ascii="仿宋_GB2312" w:eastAsia="仿宋_GB2312"/>
          <w:sz w:val="32"/>
        </w:rPr>
        <w:t>本方案适用于中等职业学校三年制各专业的公共基础课程设置，其他学制参照执行。</w:t>
      </w:r>
    </w:p>
    <w:p>
      <w:pPr>
        <w:overflowPunct w:val="0"/>
        <w:snapToGrid w:val="0"/>
        <w:ind w:left="640" w:firstLine="640"/>
        <w:rPr>
          <w:rFonts w:ascii="黑体" w:hAnsi="黑体" w:eastAsia="黑体"/>
          <w:sz w:val="32"/>
        </w:rPr>
      </w:pPr>
      <w:r>
        <w:rPr>
          <w:rFonts w:hint="eastAsia" w:ascii="黑体" w:hAnsi="黑体" w:eastAsia="黑体"/>
          <w:sz w:val="32"/>
        </w:rPr>
        <w:t>二、课程设置</w:t>
      </w:r>
    </w:p>
    <w:p>
      <w:pPr>
        <w:overflowPunct w:val="0"/>
        <w:snapToGrid w:val="0"/>
        <w:ind w:left="643" w:firstLine="643"/>
        <w:rPr>
          <w:rFonts w:ascii="楷体_GB2312" w:eastAsia="楷体_GB2312"/>
          <w:b/>
          <w:sz w:val="32"/>
        </w:rPr>
      </w:pPr>
      <w:r>
        <w:rPr>
          <w:rFonts w:hint="eastAsia" w:ascii="楷体_GB2312" w:eastAsia="楷体_GB2312"/>
          <w:b/>
          <w:sz w:val="32"/>
        </w:rPr>
        <w:t>（一）课程类别</w:t>
      </w:r>
    </w:p>
    <w:p>
      <w:pPr>
        <w:overflowPunct w:val="0"/>
        <w:snapToGrid w:val="0"/>
        <w:ind w:left="640" w:firstLine="640"/>
        <w:rPr>
          <w:rFonts w:ascii="仿宋_GB2312" w:eastAsia="仿宋_GB2312"/>
          <w:sz w:val="32"/>
        </w:rPr>
      </w:pPr>
      <w:r>
        <w:rPr>
          <w:rFonts w:hint="eastAsia" w:ascii="仿宋_GB2312" w:eastAsia="仿宋_GB2312"/>
          <w:sz w:val="32"/>
        </w:rPr>
        <w:t>中等职业学校公共基础课程分为必修课程、限定选修课程和任意选修课程。</w:t>
      </w:r>
    </w:p>
    <w:p>
      <w:pPr>
        <w:overflowPunct w:val="0"/>
        <w:snapToGrid w:val="0"/>
        <w:ind w:left="640" w:firstLine="640"/>
        <w:rPr>
          <w:rFonts w:ascii="仿宋_GB2312" w:eastAsia="仿宋_GB2312"/>
          <w:sz w:val="32"/>
        </w:rPr>
      </w:pPr>
      <w:r>
        <w:rPr>
          <w:rFonts w:hint="eastAsia" w:ascii="仿宋_GB2312" w:eastAsia="仿宋_GB2312"/>
          <w:sz w:val="32"/>
        </w:rPr>
        <w:t>必修课程，由国家根据学生全面发展的需要设置，所有学生必须全部修习。包括思想政治、语文、历史、数学、外语、信息技术、体育与健康、艺术，物理、化学为相关专业的必修课程。</w:t>
      </w:r>
    </w:p>
    <w:p>
      <w:pPr>
        <w:overflowPunct w:val="0"/>
        <w:snapToGrid w:val="0"/>
        <w:ind w:left="640" w:firstLine="640"/>
        <w:rPr>
          <w:rFonts w:ascii="仿宋_GB2312" w:eastAsia="仿宋_GB2312"/>
          <w:sz w:val="32"/>
        </w:rPr>
      </w:pPr>
      <w:r>
        <w:rPr>
          <w:rFonts w:hint="eastAsia" w:ascii="仿宋_GB2312" w:eastAsia="仿宋_GB2312"/>
          <w:sz w:val="32"/>
        </w:rPr>
        <w:t>限定选修课程，由国家根据学生职业发展的需要安排内容，各学校根据专业人才培养需要选择具体课程、安排教学，所有学生必须修满规定学分。包括中华优秀传统文化、劳动教育、职业素养等相关课程。</w:t>
      </w:r>
    </w:p>
    <w:p>
      <w:pPr>
        <w:overflowPunct w:val="0"/>
        <w:snapToGrid w:val="0"/>
        <w:ind w:left="640" w:firstLine="640"/>
        <w:rPr>
          <w:rFonts w:ascii="仿宋_GB2312" w:eastAsia="仿宋_GB2312"/>
          <w:sz w:val="32"/>
        </w:rPr>
      </w:pPr>
      <w:r>
        <w:rPr>
          <w:rFonts w:hint="eastAsia" w:ascii="仿宋_GB2312" w:eastAsia="仿宋_GB2312"/>
          <w:sz w:val="32"/>
        </w:rPr>
        <w:t>任意选修课程包括两部分，一部分由国家根据学生继续学习和个性化发展的需要安排内容，另一部分由各学校根据自身办学条件、办学特色、学生多样化需求以及当地经济社会发展的需要设置。包括各种校本课程等。</w:t>
      </w:r>
    </w:p>
    <w:p>
      <w:pPr>
        <w:overflowPunct w:val="0"/>
        <w:snapToGrid w:val="0"/>
        <w:ind w:left="643" w:firstLine="643"/>
        <w:rPr>
          <w:rFonts w:ascii="楷体_GB2312" w:eastAsia="楷体_GB2312"/>
          <w:b/>
          <w:sz w:val="32"/>
        </w:rPr>
      </w:pPr>
      <w:r>
        <w:rPr>
          <w:rFonts w:hint="eastAsia" w:ascii="楷体_GB2312" w:eastAsia="楷体_GB2312"/>
          <w:b/>
          <w:sz w:val="32"/>
        </w:rPr>
        <w:t>（二）学时</w:t>
      </w:r>
    </w:p>
    <w:p>
      <w:pPr>
        <w:overflowPunct w:val="0"/>
        <w:snapToGrid w:val="0"/>
        <w:ind w:left="640" w:firstLine="640"/>
        <w:rPr>
          <w:rFonts w:ascii="仿宋_GB2312" w:eastAsia="仿宋_GB2312"/>
          <w:sz w:val="32"/>
        </w:rPr>
      </w:pPr>
      <w:r>
        <w:rPr>
          <w:rFonts w:hint="eastAsia" w:ascii="仿宋_GB2312" w:eastAsia="仿宋_GB2312"/>
          <w:sz w:val="32"/>
        </w:rPr>
        <w:t>中等职业学校公共基础课程的学时一般占总学时的1/3，不低于1000学时。原则上每学时按45分钟计，18学时为1学分。各学校可根据专业人才培养需要在规定的范围内适当调整，但须保证学生修满规定学分。</w:t>
      </w:r>
    </w:p>
    <w:p>
      <w:pPr>
        <w:overflowPunct w:val="0"/>
        <w:snapToGrid w:val="0"/>
        <w:ind w:left="643" w:firstLine="643"/>
        <w:rPr>
          <w:rFonts w:ascii="楷体_GB2312" w:eastAsia="楷体_GB2312"/>
          <w:b/>
          <w:sz w:val="32"/>
        </w:rPr>
      </w:pPr>
      <w:r>
        <w:rPr>
          <w:rFonts w:hint="eastAsia" w:ascii="楷体_GB2312" w:eastAsia="楷体_GB2312"/>
          <w:b/>
          <w:sz w:val="32"/>
        </w:rPr>
        <w:t>（三）课程结构与学分</w:t>
      </w:r>
    </w:p>
    <w:p>
      <w:pPr>
        <w:overflowPunct w:val="0"/>
        <w:snapToGrid w:val="0"/>
        <w:ind w:left="640" w:firstLine="640"/>
        <w:rPr>
          <w:rFonts w:ascii="仿宋_GB2312" w:eastAsia="仿宋_GB2312"/>
          <w:sz w:val="32"/>
        </w:rPr>
      </w:pPr>
      <w:r>
        <w:rPr>
          <w:rFonts w:hint="eastAsia" w:ascii="仿宋_GB2312" w:eastAsia="仿宋_GB2312"/>
          <w:sz w:val="32"/>
        </w:rPr>
        <w:t>公共基础课程内容一般由基础模块、职业模块和拓展模块构成。它们既相对独立，又相互关联。基础模块是各专业学生必修的基础性内容。职业模块是提高学生职业素养的限定性选修内容。拓展模块是满足学生继续学习与个性发展等方面需要的限定性或任意选修内容。各专业学生须修完必修内容和限定性选修内容，修满规定学分。</w:t>
      </w:r>
    </w:p>
    <w:p>
      <w:pPr>
        <w:overflowPunct w:val="0"/>
        <w:snapToGrid w:val="0"/>
        <w:ind w:left="640" w:firstLine="640"/>
        <w:rPr>
          <w:rFonts w:ascii="仿宋_GB2312" w:eastAsia="仿宋_GB2312"/>
          <w:sz w:val="32"/>
        </w:rPr>
      </w:pPr>
      <w:r>
        <w:rPr>
          <w:rFonts w:hint="eastAsia" w:ascii="仿宋_GB2312" w:eastAsia="仿宋_GB2312"/>
          <w:sz w:val="32"/>
        </w:rPr>
        <w:t>各地与各学校可根据专业人才培养方案，结合地方资源、学校特色、教师特长以及学生实际等，自主开发拓展模块中的任意选修内容。其教学时间根据实际需要设定，一般为18学时的倍数。有关必修课程、限定选修课程设置及学分（模块）安排如下：</w:t>
      </w:r>
    </w:p>
    <w:tbl>
      <w:tblPr>
        <w:tblStyle w:val="9"/>
        <w:tblW w:w="0" w:type="auto"/>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2161"/>
        <w:gridCol w:w="1979"/>
        <w:gridCol w:w="3093"/>
        <w:gridCol w:w="2235"/>
      </w:tblGrid>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617" w:hRule="atLeast"/>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黑体" w:hAnsi="黑体" w:eastAsia="黑体"/>
                <w:sz w:val="32"/>
              </w:rPr>
            </w:pPr>
            <w:r>
              <w:rPr>
                <w:rFonts w:hint="eastAsia" w:ascii="黑体" w:hAnsi="黑体" w:eastAsia="黑体"/>
                <w:sz w:val="32"/>
              </w:rPr>
              <w:t>课程名称</w:t>
            </w:r>
          </w:p>
        </w:tc>
        <w:tc>
          <w:tcPr>
            <w:tcW w:w="1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黑体" w:hAnsi="黑体" w:eastAsia="黑体"/>
                <w:sz w:val="32"/>
              </w:rPr>
            </w:pPr>
            <w:r>
              <w:rPr>
                <w:rFonts w:hint="eastAsia" w:ascii="黑体" w:hAnsi="黑体" w:eastAsia="黑体"/>
                <w:sz w:val="32"/>
              </w:rPr>
              <w:t xml:space="preserve"> 必修学分</w:t>
            </w:r>
          </w:p>
          <w:p>
            <w:pPr>
              <w:overflowPunct w:val="0"/>
              <w:snapToGrid w:val="0"/>
              <w:ind w:firstLine="0"/>
              <w:jc w:val="center"/>
              <w:rPr>
                <w:rFonts w:ascii="仿宋_GB2312" w:hAnsi="黑体" w:eastAsia="仿宋_GB2312"/>
                <w:sz w:val="32"/>
              </w:rPr>
            </w:pPr>
            <w:r>
              <w:rPr>
                <w:rFonts w:hint="eastAsia" w:ascii="黑体" w:hAnsi="黑体" w:eastAsia="黑体"/>
                <w:sz w:val="32"/>
              </w:rPr>
              <w:t>（基础模块）</w:t>
            </w:r>
          </w:p>
        </w:tc>
        <w:tc>
          <w:tcPr>
            <w:tcW w:w="30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黑体" w:hAnsi="黑体" w:eastAsia="黑体"/>
                <w:sz w:val="32"/>
              </w:rPr>
            </w:pPr>
            <w:r>
              <w:rPr>
                <w:rFonts w:hint="eastAsia" w:ascii="黑体" w:hAnsi="黑体" w:eastAsia="黑体"/>
                <w:sz w:val="32"/>
              </w:rPr>
              <w:t xml:space="preserve"> 限定选修学分</w:t>
            </w:r>
          </w:p>
          <w:p>
            <w:pPr>
              <w:overflowPunct w:val="0"/>
              <w:snapToGrid w:val="0"/>
              <w:ind w:firstLine="0"/>
              <w:jc w:val="center"/>
              <w:rPr>
                <w:rFonts w:ascii="黑体" w:hAnsi="黑体" w:eastAsia="黑体"/>
                <w:sz w:val="32"/>
              </w:rPr>
            </w:pPr>
            <w:r>
              <w:rPr>
                <w:rFonts w:hint="eastAsia" w:ascii="黑体" w:hAnsi="黑体" w:eastAsia="黑体"/>
                <w:sz w:val="32"/>
              </w:rPr>
              <w:t xml:space="preserve">（职业模块或拓展   </w:t>
            </w:r>
          </w:p>
          <w:p>
            <w:pPr>
              <w:overflowPunct w:val="0"/>
              <w:snapToGrid w:val="0"/>
              <w:ind w:firstLine="0"/>
              <w:jc w:val="center"/>
              <w:rPr>
                <w:rFonts w:ascii="仿宋_GB2312" w:hAnsi="黑体" w:eastAsia="仿宋_GB2312"/>
                <w:sz w:val="32"/>
              </w:rPr>
            </w:pPr>
            <w:r>
              <w:rPr>
                <w:rFonts w:hint="eastAsia" w:ascii="黑体" w:hAnsi="黑体" w:eastAsia="黑体"/>
                <w:sz w:val="32"/>
              </w:rPr>
              <w:t xml:space="preserve">  模块）</w:t>
            </w:r>
          </w:p>
        </w:tc>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黑体" w:hAnsi="黑体" w:eastAsia="黑体"/>
                <w:sz w:val="32"/>
              </w:rPr>
            </w:pPr>
            <w:r>
              <w:rPr>
                <w:rFonts w:hint="eastAsia" w:ascii="黑体" w:hAnsi="黑体" w:eastAsia="黑体"/>
                <w:sz w:val="32"/>
              </w:rPr>
              <w:t>任意选修学分</w:t>
            </w:r>
          </w:p>
          <w:p>
            <w:pPr>
              <w:overflowPunct w:val="0"/>
              <w:snapToGrid w:val="0"/>
              <w:ind w:firstLine="0"/>
              <w:jc w:val="center"/>
              <w:rPr>
                <w:rFonts w:ascii="仿宋_GB2312" w:hAnsi="黑体" w:eastAsia="仿宋_GB2312"/>
                <w:sz w:val="32"/>
              </w:rPr>
            </w:pPr>
            <w:r>
              <w:rPr>
                <w:rFonts w:hint="eastAsia" w:ascii="黑体" w:hAnsi="黑体" w:eastAsia="黑体"/>
                <w:sz w:val="32"/>
              </w:rPr>
              <w:t>（拓展模块）</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思想政治</w:t>
            </w:r>
          </w:p>
        </w:tc>
        <w:tc>
          <w:tcPr>
            <w:tcW w:w="1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8</w:t>
            </w:r>
          </w:p>
        </w:tc>
        <w:tc>
          <w:tcPr>
            <w:tcW w:w="30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p>
        </w:tc>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2</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语文</w:t>
            </w:r>
          </w:p>
        </w:tc>
        <w:tc>
          <w:tcPr>
            <w:tcW w:w="1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8</w:t>
            </w:r>
          </w:p>
        </w:tc>
        <w:tc>
          <w:tcPr>
            <w:tcW w:w="30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3</w:t>
            </w:r>
          </w:p>
        </w:tc>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历史</w:t>
            </w:r>
          </w:p>
        </w:tc>
        <w:tc>
          <w:tcPr>
            <w:tcW w:w="1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4</w:t>
            </w:r>
          </w:p>
        </w:tc>
        <w:tc>
          <w:tcPr>
            <w:tcW w:w="30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p>
        </w:tc>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1</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数学</w:t>
            </w:r>
          </w:p>
        </w:tc>
        <w:tc>
          <w:tcPr>
            <w:tcW w:w="1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6</w:t>
            </w:r>
          </w:p>
        </w:tc>
        <w:tc>
          <w:tcPr>
            <w:tcW w:w="30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2</w:t>
            </w:r>
          </w:p>
        </w:tc>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color w:val="000000"/>
                <w:sz w:val="32"/>
              </w:rPr>
              <w:t>外</w:t>
            </w:r>
            <w:r>
              <w:rPr>
                <w:rFonts w:hint="eastAsia" w:ascii="仿宋_GB2312" w:eastAsia="仿宋_GB2312"/>
                <w:sz w:val="32"/>
              </w:rPr>
              <w:t>语</w:t>
            </w:r>
          </w:p>
        </w:tc>
        <w:tc>
          <w:tcPr>
            <w:tcW w:w="1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6</w:t>
            </w:r>
          </w:p>
        </w:tc>
        <w:tc>
          <w:tcPr>
            <w:tcW w:w="30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2</w:t>
            </w:r>
          </w:p>
        </w:tc>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信息技术</w:t>
            </w:r>
          </w:p>
        </w:tc>
        <w:tc>
          <w:tcPr>
            <w:tcW w:w="1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6</w:t>
            </w:r>
          </w:p>
        </w:tc>
        <w:tc>
          <w:tcPr>
            <w:tcW w:w="30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p>
        </w:tc>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2</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体育与健康</w:t>
            </w:r>
          </w:p>
        </w:tc>
        <w:tc>
          <w:tcPr>
            <w:tcW w:w="1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3</w:t>
            </w:r>
          </w:p>
        </w:tc>
        <w:tc>
          <w:tcPr>
            <w:tcW w:w="30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5</w:t>
            </w:r>
          </w:p>
        </w:tc>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4</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艺术</w:t>
            </w:r>
          </w:p>
        </w:tc>
        <w:tc>
          <w:tcPr>
            <w:tcW w:w="1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2</w:t>
            </w:r>
          </w:p>
        </w:tc>
        <w:tc>
          <w:tcPr>
            <w:tcW w:w="30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p>
        </w:tc>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2</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物理</w:t>
            </w:r>
          </w:p>
        </w:tc>
        <w:tc>
          <w:tcPr>
            <w:tcW w:w="1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2.5</w:t>
            </w:r>
          </w:p>
        </w:tc>
        <w:tc>
          <w:tcPr>
            <w:tcW w:w="30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p>
        </w:tc>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0.5～2</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化学</w:t>
            </w:r>
          </w:p>
        </w:tc>
        <w:tc>
          <w:tcPr>
            <w:tcW w:w="1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2.5</w:t>
            </w:r>
          </w:p>
        </w:tc>
        <w:tc>
          <w:tcPr>
            <w:tcW w:w="30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p>
        </w:tc>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0.5～2</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其他</w:t>
            </w:r>
          </w:p>
        </w:tc>
        <w:tc>
          <w:tcPr>
            <w:tcW w:w="1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p>
        </w:tc>
        <w:tc>
          <w:tcPr>
            <w:tcW w:w="30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3</w:t>
            </w:r>
          </w:p>
        </w:tc>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444" w:hRule="atLeast"/>
          <w:jc w:val="center"/>
        </w:trPr>
        <w:tc>
          <w:tcPr>
            <w:tcW w:w="2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合计</w:t>
            </w:r>
          </w:p>
        </w:tc>
        <w:tc>
          <w:tcPr>
            <w:tcW w:w="1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48</w:t>
            </w:r>
          </w:p>
        </w:tc>
        <w:tc>
          <w:tcPr>
            <w:tcW w:w="30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r>
              <w:rPr>
                <w:rFonts w:hint="eastAsia" w:ascii="仿宋_GB2312" w:eastAsia="仿宋_GB2312"/>
                <w:sz w:val="32"/>
              </w:rPr>
              <w:t>15</w:t>
            </w:r>
          </w:p>
        </w:tc>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verflowPunct w:val="0"/>
              <w:snapToGrid w:val="0"/>
              <w:ind w:firstLine="0"/>
              <w:jc w:val="center"/>
              <w:rPr>
                <w:rFonts w:ascii="仿宋_GB2312" w:eastAsia="仿宋_GB2312"/>
                <w:sz w:val="32"/>
              </w:rPr>
            </w:pPr>
          </w:p>
        </w:tc>
      </w:tr>
    </w:tbl>
    <w:p>
      <w:pPr>
        <w:overflowPunct w:val="0"/>
        <w:snapToGrid w:val="0"/>
        <w:ind w:left="648" w:firstLine="648"/>
        <w:rPr>
          <w:rFonts w:ascii="仿宋_GB2312" w:eastAsia="仿宋_GB2312"/>
          <w:sz w:val="32"/>
        </w:rPr>
      </w:pPr>
      <w:r>
        <w:rPr>
          <w:rFonts w:hint="eastAsia" w:ascii="仿宋_GB2312" w:eastAsia="仿宋_GB2312"/>
          <w:sz w:val="32"/>
        </w:rPr>
        <w:t>其中，外语包括英语、日语、俄语、德语、法语、西班牙语等，学校自主选择第一外语语种，鼓励学校创造条件开设第二外语。体育与健康的必修内容和限定性选修内容，须在校期间持续开设。物理是机械建筑类、电工电子类、化工农医类等相关专业的必修课程。化学是医药卫生类、农林牧渔类、加工制造类等相关专业的必修课程。“其他”为限定选修课程，可为职业模块，也可为拓展模块。语文、数学、外语的限定选修学分为职业模块内容，体育与健康的限定选修学分为拓展模块内容。</w:t>
      </w:r>
    </w:p>
    <w:p>
      <w:pPr>
        <w:overflowPunct w:val="0"/>
        <w:snapToGrid w:val="0"/>
        <w:ind w:left="640" w:firstLine="640"/>
        <w:rPr>
          <w:rFonts w:ascii="黑体" w:hAnsi="黑体" w:eastAsia="黑体"/>
          <w:sz w:val="32"/>
        </w:rPr>
      </w:pPr>
      <w:r>
        <w:rPr>
          <w:rFonts w:hint="eastAsia" w:ascii="黑体" w:hAnsi="黑体" w:eastAsia="黑体"/>
          <w:sz w:val="32"/>
        </w:rPr>
        <w:t>三、课程内容确定的原则</w:t>
      </w:r>
    </w:p>
    <w:p>
      <w:pPr>
        <w:overflowPunct w:val="0"/>
        <w:snapToGrid w:val="0"/>
        <w:ind w:left="643" w:firstLine="643"/>
        <w:rPr>
          <w:rFonts w:ascii="楷体_GB2312" w:eastAsia="楷体_GB2312"/>
          <w:b/>
          <w:sz w:val="32"/>
        </w:rPr>
      </w:pPr>
      <w:r>
        <w:rPr>
          <w:rFonts w:hint="eastAsia" w:ascii="楷体_GB2312" w:eastAsia="楷体_GB2312"/>
          <w:b/>
          <w:sz w:val="32"/>
        </w:rPr>
        <w:t>（一）突出思想性</w:t>
      </w:r>
    </w:p>
    <w:p>
      <w:pPr>
        <w:overflowPunct w:val="0"/>
        <w:snapToGrid w:val="0"/>
        <w:ind w:left="640" w:firstLine="640"/>
        <w:rPr>
          <w:rFonts w:ascii="仿宋_GB2312" w:eastAsia="仿宋_GB2312"/>
          <w:sz w:val="32"/>
        </w:rPr>
      </w:pPr>
      <w:r>
        <w:rPr>
          <w:rFonts w:hint="eastAsia" w:ascii="仿宋_GB2312" w:eastAsia="仿宋_GB2312"/>
          <w:sz w:val="32"/>
        </w:rPr>
        <w:t>坚持立德树人，充分反映习近平新时代中国特色社会主义思想，全面落实社会主义核心价值观的基本内容和要求，有机融入中华优秀传统文化、革命文化、社会主义先进文化、法治意识、国家安全、历史使命、社会责任、民族团结、生态文明、健康意识、审美观念等教育，促进全员育人、全程育人、全方位育人。</w:t>
      </w:r>
    </w:p>
    <w:p>
      <w:pPr>
        <w:overflowPunct w:val="0"/>
        <w:snapToGrid w:val="0"/>
        <w:ind w:left="643" w:firstLine="643"/>
        <w:rPr>
          <w:rFonts w:ascii="楷体_GB2312" w:eastAsia="楷体_GB2312"/>
          <w:b/>
          <w:sz w:val="32"/>
        </w:rPr>
      </w:pPr>
      <w:r>
        <w:rPr>
          <w:rFonts w:hint="eastAsia" w:ascii="楷体_GB2312" w:eastAsia="楷体_GB2312"/>
          <w:b/>
          <w:sz w:val="32"/>
        </w:rPr>
        <w:t>（二）注重基础性</w:t>
      </w:r>
    </w:p>
    <w:p>
      <w:pPr>
        <w:overflowPunct w:val="0"/>
        <w:snapToGrid w:val="0"/>
        <w:ind w:left="640" w:firstLine="640"/>
        <w:rPr>
          <w:rFonts w:ascii="仿宋_GB2312" w:eastAsia="仿宋_GB2312"/>
          <w:sz w:val="32"/>
        </w:rPr>
      </w:pPr>
      <w:r>
        <w:rPr>
          <w:rFonts w:hint="eastAsia" w:ascii="仿宋_GB2312" w:eastAsia="仿宋_GB2312"/>
          <w:sz w:val="32"/>
        </w:rPr>
        <w:t>遵循学生身心发展规律，依据学生发展核心素养，结合学生学业基础，精选适应学生终身学习和职业生涯发展需要的基本知识和基本技能，进一步打好学生文化基础，培养学生综合素质，夯实学生个性化发展的共同基础。</w:t>
      </w:r>
    </w:p>
    <w:p>
      <w:pPr>
        <w:overflowPunct w:val="0"/>
        <w:snapToGrid w:val="0"/>
        <w:ind w:left="643" w:firstLine="643"/>
        <w:rPr>
          <w:rFonts w:ascii="楷体_GB2312" w:eastAsia="楷体_GB2312"/>
          <w:b/>
          <w:sz w:val="32"/>
        </w:rPr>
      </w:pPr>
      <w:r>
        <w:rPr>
          <w:rFonts w:hint="eastAsia" w:ascii="楷体_GB2312" w:eastAsia="楷体_GB2312"/>
          <w:b/>
          <w:sz w:val="32"/>
        </w:rPr>
        <w:t>（三）体现职业性</w:t>
      </w:r>
    </w:p>
    <w:p>
      <w:pPr>
        <w:overflowPunct w:val="0"/>
        <w:snapToGrid w:val="0"/>
        <w:ind w:left="640" w:firstLine="640"/>
        <w:rPr>
          <w:rFonts w:ascii="仿宋_GB2312" w:eastAsia="仿宋_GB2312"/>
          <w:sz w:val="32"/>
        </w:rPr>
      </w:pPr>
      <w:r>
        <w:rPr>
          <w:rFonts w:hint="eastAsia" w:ascii="仿宋_GB2312" w:eastAsia="仿宋_GB2312"/>
          <w:sz w:val="32"/>
        </w:rPr>
        <w:t>加强公共基础课程与专业课程的融通、衔接和配合，强化课程内容与社会生活、职业生活的联系，突出实践育人。选择与职业生涯密切相关的教学内容，有机融入职业道德、劳动精神、劳模精神和工匠精神教育，培育学生职业精神，提高职业素养。适应学生不同的职业发展需求，分类分层设计课程内容。</w:t>
      </w:r>
    </w:p>
    <w:p>
      <w:pPr>
        <w:overflowPunct w:val="0"/>
        <w:snapToGrid w:val="0"/>
        <w:ind w:left="643" w:firstLine="643"/>
        <w:rPr>
          <w:rFonts w:ascii="楷体_GB2312" w:eastAsia="楷体_GB2312"/>
          <w:b/>
          <w:sz w:val="32"/>
        </w:rPr>
      </w:pPr>
      <w:r>
        <w:rPr>
          <w:rFonts w:hint="eastAsia" w:ascii="楷体_GB2312" w:eastAsia="楷体_GB2312"/>
          <w:b/>
          <w:sz w:val="32"/>
        </w:rPr>
        <w:t>（四）反映时代性</w:t>
      </w:r>
    </w:p>
    <w:p>
      <w:pPr>
        <w:overflowPunct w:val="0"/>
        <w:snapToGrid w:val="0"/>
        <w:ind w:left="640" w:firstLine="640"/>
        <w:rPr>
          <w:rFonts w:ascii="仿宋_GB2312" w:eastAsia="仿宋_GB2312"/>
          <w:sz w:val="32"/>
        </w:rPr>
      </w:pPr>
      <w:r>
        <w:rPr>
          <w:rFonts w:hint="eastAsia" w:ascii="仿宋_GB2312" w:eastAsia="仿宋_GB2312"/>
          <w:sz w:val="32"/>
        </w:rPr>
        <w:t>充分吸收马克思主义中国化最新成果，借鉴国内外课程改革的成功经验，优化课程结构，及时更新课程内容，体现先进的教育思想和教育理念，反映当代社会进步、科技发展、学科发展前沿和行业企业新技术、新工艺、新规范。</w:t>
      </w:r>
    </w:p>
    <w:p>
      <w:pPr>
        <w:overflowPunct w:val="0"/>
        <w:snapToGrid w:val="0"/>
        <w:ind w:left="640" w:firstLine="640"/>
        <w:rPr>
          <w:rFonts w:ascii="黑体" w:hAnsi="黑体" w:eastAsia="黑体"/>
          <w:sz w:val="32"/>
        </w:rPr>
      </w:pPr>
      <w:r>
        <w:rPr>
          <w:rFonts w:hint="eastAsia" w:ascii="黑体" w:hAnsi="黑体" w:eastAsia="黑体"/>
          <w:sz w:val="32"/>
        </w:rPr>
        <w:t>四、课程实施与评价</w:t>
      </w:r>
    </w:p>
    <w:p>
      <w:pPr>
        <w:overflowPunct w:val="0"/>
        <w:snapToGrid w:val="0"/>
        <w:ind w:left="643" w:firstLine="643"/>
        <w:rPr>
          <w:rFonts w:ascii="楷体_GB2312" w:eastAsia="楷体_GB2312"/>
          <w:b/>
          <w:sz w:val="32"/>
        </w:rPr>
      </w:pPr>
      <w:r>
        <w:rPr>
          <w:rFonts w:hint="eastAsia" w:ascii="楷体_GB2312" w:eastAsia="楷体_GB2312"/>
          <w:b/>
          <w:sz w:val="32"/>
        </w:rPr>
        <w:t>（一）科学编制课程标准与教材</w:t>
      </w:r>
    </w:p>
    <w:p>
      <w:pPr>
        <w:overflowPunct w:val="0"/>
        <w:snapToGrid w:val="0"/>
        <w:ind w:left="640" w:firstLine="640"/>
        <w:rPr>
          <w:rFonts w:ascii="仿宋_GB2312" w:eastAsia="仿宋_GB2312"/>
          <w:sz w:val="32"/>
        </w:rPr>
      </w:pPr>
      <w:r>
        <w:rPr>
          <w:rFonts w:hint="eastAsia" w:ascii="仿宋_GB2312" w:eastAsia="仿宋_GB2312"/>
          <w:sz w:val="32"/>
        </w:rPr>
        <w:t>课程标准研制应遵循本课程方案的总体要求，明确课程的育人价值，确定课程核心素养和课程目标，明确课程内容和学业质量标准，以指导教材编写、课程教学、考核评价与资源建设。</w:t>
      </w:r>
    </w:p>
    <w:p>
      <w:pPr>
        <w:overflowPunct w:val="0"/>
        <w:snapToGrid w:val="0"/>
        <w:ind w:left="640" w:firstLine="640"/>
        <w:rPr>
          <w:rFonts w:ascii="仿宋_GB2312" w:eastAsia="仿宋_GB2312"/>
          <w:sz w:val="32"/>
        </w:rPr>
      </w:pPr>
      <w:r>
        <w:rPr>
          <w:rFonts w:hint="eastAsia" w:ascii="仿宋_GB2312" w:eastAsia="仿宋_GB2312"/>
          <w:sz w:val="32"/>
        </w:rPr>
        <w:t>教材编写要以课程标准为依据，围绕课程核心素养，充分考虑学生的兴趣和需求，精选教学内容，创新组织方式，丰富载体形式。教材编写应有利于学校组织安排教学，有利于促进教学方式方法改革。</w:t>
      </w:r>
    </w:p>
    <w:p>
      <w:pPr>
        <w:overflowPunct w:val="0"/>
        <w:snapToGrid w:val="0"/>
        <w:ind w:left="643" w:firstLine="643"/>
        <w:rPr>
          <w:rFonts w:ascii="楷体_GB2312" w:eastAsia="楷体_GB2312"/>
          <w:b/>
          <w:sz w:val="32"/>
        </w:rPr>
      </w:pPr>
      <w:r>
        <w:rPr>
          <w:rFonts w:hint="eastAsia" w:ascii="楷体_GB2312" w:eastAsia="楷体_GB2312"/>
          <w:b/>
          <w:sz w:val="32"/>
        </w:rPr>
        <w:t>（二）合理实施课程教学</w:t>
      </w:r>
    </w:p>
    <w:p>
      <w:pPr>
        <w:overflowPunct w:val="0"/>
        <w:snapToGrid w:val="0"/>
        <w:ind w:left="640" w:firstLine="640"/>
        <w:rPr>
          <w:rFonts w:ascii="仿宋_GB2312" w:eastAsia="仿宋_GB2312"/>
          <w:sz w:val="32"/>
        </w:rPr>
      </w:pPr>
      <w:r>
        <w:rPr>
          <w:rFonts w:hint="eastAsia" w:ascii="仿宋_GB2312" w:eastAsia="仿宋_GB2312"/>
          <w:sz w:val="32"/>
        </w:rPr>
        <w:t>学校在教育行政部门的指导下，依据本方案和课程标准，统筹专业教学标准、专业人才培养方案的贯彻执行，结合培养目标、办学条件、学生特点和职业发展需要，自主安排课程内容，合理实施教学，开齐国家规定的公共基础课程，开足规定学时。加强课堂教学管理，规范教学秩序，打造优质课堂。教师要准确把握课程教学要求，做好课程教学设计，规范编写、严格执行教案，合理运用各类教学资源，推动教学方式方法改革。</w:t>
      </w:r>
    </w:p>
    <w:p>
      <w:pPr>
        <w:overflowPunct w:val="0"/>
        <w:snapToGrid w:val="0"/>
        <w:ind w:left="643" w:firstLine="643"/>
        <w:rPr>
          <w:rFonts w:ascii="楷体_GB2312" w:eastAsia="楷体_GB2312"/>
          <w:b/>
          <w:sz w:val="32"/>
        </w:rPr>
      </w:pPr>
      <w:r>
        <w:rPr>
          <w:rFonts w:hint="eastAsia" w:ascii="楷体_GB2312" w:eastAsia="楷体_GB2312"/>
          <w:b/>
          <w:sz w:val="32"/>
        </w:rPr>
        <w:t>（三）充分开发与利用课程资源</w:t>
      </w:r>
    </w:p>
    <w:p>
      <w:pPr>
        <w:overflowPunct w:val="0"/>
        <w:snapToGrid w:val="0"/>
        <w:ind w:left="640" w:firstLine="640"/>
        <w:rPr>
          <w:rFonts w:ascii="仿宋_GB2312" w:eastAsia="仿宋_GB2312"/>
          <w:sz w:val="32"/>
        </w:rPr>
      </w:pPr>
      <w:r>
        <w:rPr>
          <w:rFonts w:hint="eastAsia" w:ascii="仿宋_GB2312" w:eastAsia="仿宋_GB2312"/>
          <w:sz w:val="32"/>
        </w:rPr>
        <w:t>鼓励学校自主开发或与其他学校、教科研机构、合作企业等联合开发纸质资源、数字化资源和地域特色资源等公共基础课程资源，促进资源共建共享。资源建设注重教与学并重，推动现代信息技术与教育教学的有机融合，助力教师组织实施教学，支持学生开展自主学习、协作学习和探究学习等多样化的学习方式，提升教学效果。</w:t>
      </w:r>
    </w:p>
    <w:p>
      <w:pPr>
        <w:overflowPunct w:val="0"/>
        <w:snapToGrid w:val="0"/>
        <w:ind w:left="643" w:firstLine="643"/>
        <w:rPr>
          <w:rFonts w:ascii="楷体_GB2312" w:eastAsia="楷体_GB2312"/>
          <w:b/>
          <w:sz w:val="32"/>
        </w:rPr>
      </w:pPr>
      <w:r>
        <w:rPr>
          <w:rFonts w:hint="eastAsia" w:ascii="楷体_GB2312" w:eastAsia="楷体_GB2312"/>
          <w:b/>
          <w:sz w:val="32"/>
        </w:rPr>
        <w:t>（四）努力完善课程考核评价机制</w:t>
      </w:r>
    </w:p>
    <w:p>
      <w:pPr>
        <w:overflowPunct w:val="0"/>
        <w:snapToGrid w:val="0"/>
        <w:ind w:left="640" w:firstLine="640"/>
        <w:rPr>
          <w:rFonts w:ascii="仿宋_GB2312" w:eastAsia="仿宋_GB2312"/>
          <w:sz w:val="32"/>
        </w:rPr>
      </w:pPr>
      <w:r>
        <w:rPr>
          <w:rFonts w:hint="eastAsia" w:ascii="仿宋_GB2312" w:eastAsia="仿宋_GB2312"/>
          <w:sz w:val="32"/>
        </w:rPr>
        <w:t>公共基础课程考核评价应以本课程方案、课程标准为基本依据。对接学业质量要求，重点考核学生运用知识分析与解决实际问题的能力，促进学生核心素养的发展。丰富评价形式，实行教师评价与学生评价相结合、过程性评价与终结性评价相结合等多元评价方式。</w:t>
      </w:r>
    </w:p>
    <w:p>
      <w:pPr>
        <w:overflowPunct w:val="0"/>
        <w:snapToGrid w:val="0"/>
        <w:ind w:left="640" w:firstLine="640"/>
        <w:rPr>
          <w:rFonts w:ascii="仿宋_GB2312" w:eastAsia="仿宋_GB2312"/>
          <w:sz w:val="32"/>
        </w:rPr>
      </w:pPr>
      <w:r>
        <w:rPr>
          <w:rFonts w:hint="eastAsia" w:ascii="仿宋_GB2312" w:eastAsia="仿宋_GB2312"/>
          <w:sz w:val="32"/>
        </w:rPr>
        <w:t>省级教育行政部门可依据本方案建立公共基础课程教学质量监测体系，实施学业水平考试，提高中等职业学校公共基础课程管理水平和教学质量。</w:t>
      </w:r>
    </w:p>
    <w:p>
      <w:pPr>
        <w:overflowPunct w:val="0"/>
        <w:snapToGrid w:val="0"/>
        <w:ind w:left="640" w:firstLine="640"/>
        <w:rPr>
          <w:rFonts w:ascii="黑体" w:hAnsi="黑体" w:eastAsia="黑体"/>
          <w:sz w:val="32"/>
        </w:rPr>
      </w:pPr>
      <w:r>
        <w:rPr>
          <w:rFonts w:hint="eastAsia" w:ascii="黑体" w:hAnsi="黑体" w:eastAsia="黑体"/>
          <w:sz w:val="32"/>
        </w:rPr>
        <w:t>五、条件保障</w:t>
      </w:r>
    </w:p>
    <w:p>
      <w:pPr>
        <w:overflowPunct w:val="0"/>
        <w:snapToGrid w:val="0"/>
        <w:ind w:left="643" w:firstLine="643"/>
        <w:rPr>
          <w:rFonts w:ascii="楷体_GB2312" w:eastAsia="楷体_GB2312"/>
          <w:b/>
          <w:sz w:val="32"/>
        </w:rPr>
      </w:pPr>
      <w:r>
        <w:rPr>
          <w:rFonts w:hint="eastAsia" w:ascii="楷体_GB2312" w:eastAsia="楷体_GB2312"/>
          <w:b/>
          <w:sz w:val="32"/>
        </w:rPr>
        <w:t>（一）加强教师队伍建设</w:t>
      </w:r>
    </w:p>
    <w:p>
      <w:pPr>
        <w:overflowPunct w:val="0"/>
        <w:snapToGrid w:val="0"/>
        <w:ind w:left="640" w:firstLine="640"/>
        <w:rPr>
          <w:rFonts w:ascii="仿宋_GB2312" w:eastAsia="仿宋_GB2312"/>
          <w:sz w:val="32"/>
        </w:rPr>
      </w:pPr>
      <w:r>
        <w:rPr>
          <w:rFonts w:hint="eastAsia" w:ascii="仿宋_GB2312" w:eastAsia="仿宋_GB2312"/>
          <w:sz w:val="32"/>
        </w:rPr>
        <w:t>根据课程实施需要，配足配齐公共基础课程专任教师。支持学校聘用具有专业特长的兼职教师。</w:t>
      </w:r>
    </w:p>
    <w:p>
      <w:pPr>
        <w:overflowPunct w:val="0"/>
        <w:snapToGrid w:val="0"/>
        <w:ind w:left="640" w:firstLine="640"/>
        <w:rPr>
          <w:rFonts w:ascii="仿宋_GB2312" w:eastAsia="仿宋_GB2312"/>
          <w:sz w:val="32"/>
        </w:rPr>
      </w:pPr>
      <w:r>
        <w:rPr>
          <w:rFonts w:hint="eastAsia" w:ascii="仿宋_GB2312" w:eastAsia="仿宋_GB2312"/>
          <w:sz w:val="32"/>
        </w:rPr>
        <w:t>加强师德师风建设，坚定教师理想信念，提升教师品德修养。完善中等职业学校教师进修和继续教育制度，鼓励和支持教师参加“国培计划”“省培计划”等各级各类培训，提高教学能力，推动教师角色的转变和教育理念、教学观念、教学方法以及教学评价等方面的改革。改进教师工作量核定办法，健全教师奖惩机制，充分调动教师的积极性和创造性。</w:t>
      </w:r>
    </w:p>
    <w:p>
      <w:pPr>
        <w:overflowPunct w:val="0"/>
        <w:snapToGrid w:val="0"/>
        <w:ind w:left="643" w:firstLine="643"/>
        <w:rPr>
          <w:rFonts w:ascii="楷体_GB2312" w:eastAsia="楷体_GB2312"/>
          <w:b/>
          <w:sz w:val="32"/>
        </w:rPr>
      </w:pPr>
      <w:r>
        <w:rPr>
          <w:rFonts w:hint="eastAsia" w:ascii="楷体_GB2312" w:eastAsia="楷体_GB2312"/>
          <w:b/>
          <w:sz w:val="32"/>
        </w:rPr>
        <w:t>（二）加强教学设施建设</w:t>
      </w:r>
    </w:p>
    <w:p>
      <w:pPr>
        <w:overflowPunct w:val="0"/>
        <w:snapToGrid w:val="0"/>
        <w:ind w:left="640" w:firstLine="640"/>
        <w:rPr>
          <w:rFonts w:ascii="仿宋_GB2312" w:eastAsia="仿宋_GB2312"/>
          <w:sz w:val="32"/>
        </w:rPr>
      </w:pPr>
      <w:r>
        <w:rPr>
          <w:rFonts w:hint="eastAsia" w:ascii="仿宋_GB2312" w:eastAsia="仿宋_GB2312"/>
          <w:sz w:val="32"/>
        </w:rPr>
        <w:t>根据课程实施需要，进一步完善中等职业学校基础设施、图书资料、教学设备建设标准，改善教学环境与教学条件。配齐语音室、计算机室、多媒体教室、理化实验室、画室等专用教室与体育场馆，提供足够的图书及音视频资料、设施设备、实验器材及耗材等，保障外语、信息技术、体育与健康、艺术等公共基础课程的开设。建设智能化教学支持环境，创新服务供给模式，服务学生终身学习。</w:t>
      </w:r>
    </w:p>
    <w:p>
      <w:pPr>
        <w:overflowPunct w:val="0"/>
        <w:snapToGrid w:val="0"/>
        <w:ind w:left="643" w:firstLine="643"/>
        <w:rPr>
          <w:rFonts w:ascii="楷体_GB2312" w:eastAsia="楷体_GB2312"/>
          <w:b/>
          <w:sz w:val="32"/>
        </w:rPr>
      </w:pPr>
      <w:r>
        <w:rPr>
          <w:rFonts w:hint="eastAsia" w:ascii="楷体_GB2312" w:eastAsia="楷体_GB2312"/>
          <w:b/>
          <w:sz w:val="32"/>
        </w:rPr>
        <w:t>（三）完善课程实施管理</w:t>
      </w:r>
    </w:p>
    <w:p>
      <w:pPr>
        <w:overflowPunct w:val="0"/>
        <w:snapToGrid w:val="0"/>
        <w:ind w:left="640" w:firstLine="640"/>
        <w:rPr>
          <w:rFonts w:ascii="仿宋_GB2312" w:eastAsia="仿宋_GB2312"/>
          <w:sz w:val="32"/>
        </w:rPr>
      </w:pPr>
      <w:r>
        <w:rPr>
          <w:rFonts w:hint="eastAsia" w:ascii="仿宋_GB2312" w:eastAsia="仿宋_GB2312"/>
          <w:sz w:val="32"/>
        </w:rPr>
        <w:t>省级教育行政部门负责本地区中等职业学校公共基础课程设置与课程标准实施的统筹规划与管理督查。地市级教育行政部门负责中等职业学校公共基础课程建设的检查监督，把课程开设与实施情况作为考核学校工作的重要内容。学校要进一步健全公共基础课程管理制度，全面落实本方案和课程标准，保证开齐开足公共基础课程。职业教育教研机构要加强课程实施的培训和指导。</w:t>
      </w:r>
    </w:p>
    <w:p>
      <w:pPr>
        <w:snapToGrid w:val="0"/>
        <w:spacing w:line="400" w:lineRule="atLeast"/>
        <w:ind w:firstLine="0"/>
        <w:rPr>
          <w:rFonts w:ascii="仿宋_GB2312" w:eastAsia="仿宋_GB2312"/>
          <w:sz w:val="32"/>
        </w:rPr>
      </w:pPr>
    </w:p>
    <w:p>
      <w:pPr>
        <w:snapToGrid w:val="0"/>
        <w:spacing w:line="400" w:lineRule="atLeast"/>
        <w:ind w:firstLine="0"/>
        <w:rPr>
          <w:rFonts w:ascii="仿宋_GB2312" w:eastAsia="仿宋_GB2312"/>
          <w:sz w:val="32"/>
        </w:rPr>
      </w:pPr>
    </w:p>
    <w:p>
      <w:pPr>
        <w:snapToGrid w:val="0"/>
        <w:spacing w:line="560" w:lineRule="exact"/>
        <w:ind w:firstLine="0"/>
        <w:rPr>
          <w:rFonts w:ascii="仿宋_GB2312" w:eastAsia="仿宋_GB2312"/>
          <w:sz w:val="32"/>
        </w:rPr>
      </w:pPr>
    </w:p>
    <w:p>
      <w:pPr>
        <w:widowControl/>
        <w:snapToGrid w:val="0"/>
        <w:ind w:firstLine="0"/>
        <w:jc w:val="left"/>
        <w:rPr>
          <w:sz w:val="21"/>
        </w:rPr>
      </w:pPr>
    </w:p>
    <w:p>
      <w:pPr>
        <w:widowControl/>
        <w:snapToGrid w:val="0"/>
        <w:ind w:firstLine="0"/>
        <w:jc w:val="left"/>
        <w:rPr>
          <w:sz w:val="21"/>
        </w:rPr>
      </w:pPr>
    </w:p>
    <w:p>
      <w:pPr>
        <w:widowControl/>
        <w:snapToGrid w:val="0"/>
        <w:ind w:firstLine="0"/>
        <w:jc w:val="left"/>
        <w:rPr>
          <w:sz w:val="21"/>
        </w:rPr>
      </w:pPr>
    </w:p>
    <w:p>
      <w:pPr>
        <w:widowControl/>
        <w:snapToGrid w:val="0"/>
        <w:ind w:firstLine="0"/>
        <w:jc w:val="left"/>
        <w:rPr>
          <w:sz w:val="21"/>
        </w:rPr>
      </w:pPr>
    </w:p>
    <w:p>
      <w:pPr>
        <w:widowControl/>
        <w:snapToGrid w:val="0"/>
        <w:ind w:firstLine="0"/>
        <w:jc w:val="left"/>
        <w:rPr>
          <w:sz w:val="21"/>
        </w:rPr>
      </w:pPr>
    </w:p>
    <w:p>
      <w:pPr>
        <w:widowControl/>
        <w:snapToGrid w:val="0"/>
        <w:ind w:firstLine="0"/>
        <w:jc w:val="left"/>
        <w:rPr>
          <w:sz w:val="21"/>
        </w:rPr>
      </w:pPr>
    </w:p>
    <w:p>
      <w:pPr>
        <w:widowControl/>
        <w:snapToGrid w:val="0"/>
        <w:ind w:firstLine="0"/>
        <w:jc w:val="left"/>
        <w:rPr>
          <w:sz w:val="21"/>
        </w:rPr>
      </w:pPr>
    </w:p>
    <w:p>
      <w:pPr>
        <w:widowControl/>
        <w:snapToGrid w:val="0"/>
        <w:ind w:firstLine="0"/>
        <w:jc w:val="left"/>
        <w:rPr>
          <w:sz w:val="21"/>
        </w:rPr>
      </w:pPr>
    </w:p>
    <w:p>
      <w:pPr>
        <w:widowControl/>
        <w:snapToGrid w:val="0"/>
        <w:ind w:firstLine="0"/>
        <w:jc w:val="left"/>
        <w:rPr>
          <w:sz w:val="21"/>
        </w:rPr>
      </w:pPr>
    </w:p>
    <w:p>
      <w:pPr>
        <w:widowControl/>
        <w:snapToGrid w:val="0"/>
        <w:ind w:firstLine="0"/>
        <w:jc w:val="left"/>
        <w:rPr>
          <w:sz w:val="21"/>
        </w:rPr>
      </w:pPr>
    </w:p>
    <w:p>
      <w:pPr>
        <w:widowControl/>
        <w:snapToGrid w:val="0"/>
        <w:ind w:firstLine="0"/>
        <w:jc w:val="left"/>
        <w:rPr>
          <w:sz w:val="21"/>
        </w:rPr>
      </w:pPr>
    </w:p>
    <w:p>
      <w:pPr>
        <w:widowControl/>
        <w:snapToGrid w:val="0"/>
        <w:ind w:firstLine="0"/>
        <w:jc w:val="left"/>
        <w:rPr>
          <w:sz w:val="21"/>
        </w:rPr>
      </w:pPr>
    </w:p>
    <w:p>
      <w:pPr>
        <w:widowControl/>
        <w:snapToGrid w:val="0"/>
        <w:ind w:firstLine="0"/>
        <w:jc w:val="left"/>
        <w:rPr>
          <w:sz w:val="21"/>
        </w:rPr>
      </w:pPr>
    </w:p>
    <w:p>
      <w:pPr>
        <w:widowControl/>
        <w:snapToGrid w:val="0"/>
        <w:ind w:firstLine="0"/>
        <w:jc w:val="left"/>
        <w:rPr>
          <w:sz w:val="21"/>
        </w:rPr>
      </w:pPr>
    </w:p>
    <w:p>
      <w:pPr>
        <w:widowControl/>
        <w:snapToGrid w:val="0"/>
        <w:ind w:firstLine="0"/>
        <w:jc w:val="left"/>
        <w:rPr>
          <w:sz w:val="21"/>
        </w:rPr>
      </w:pPr>
    </w:p>
    <w:p>
      <w:pPr>
        <w:widowControl/>
        <w:snapToGrid w:val="0"/>
        <w:ind w:firstLine="0"/>
        <w:jc w:val="left"/>
        <w:rPr>
          <w:sz w:val="21"/>
        </w:rPr>
      </w:pPr>
    </w:p>
    <w:p>
      <w:pPr>
        <w:widowControl/>
        <w:snapToGrid w:val="0"/>
        <w:ind w:firstLine="0"/>
        <w:jc w:val="left"/>
        <w:rPr>
          <w:sz w:val="21"/>
        </w:rPr>
      </w:pPr>
    </w:p>
    <w:p>
      <w:pPr>
        <w:widowControl/>
        <w:snapToGrid w:val="0"/>
        <w:ind w:firstLine="0"/>
        <w:jc w:val="left"/>
        <w:rPr>
          <w:rFonts w:ascii="仿宋_GB2312" w:eastAsia="仿宋_GB2312"/>
          <w:color w:val="000000"/>
          <w:sz w:val="28"/>
        </w:rPr>
      </w:pPr>
      <w:r>
        <w:rPr>
          <w:rFonts w:hint="eastAsia" w:ascii="仿宋_GB2312" w:eastAsia="仿宋_GB2312"/>
          <w:color w:val="000000"/>
          <w:sz w:val="28"/>
        </w:rPr>
        <w:t>附件5</w:t>
      </w:r>
    </w:p>
    <w:p>
      <w:pPr>
        <w:widowControl/>
        <w:snapToGrid w:val="0"/>
        <w:ind w:firstLine="0"/>
        <w:jc w:val="left"/>
        <w:rPr>
          <w:sz w:val="21"/>
        </w:rPr>
      </w:pPr>
      <w:r>
        <w:rPr>
          <w:sz w:val="24"/>
        </w:rPr>
        <w:drawing>
          <wp:inline distT="0" distB="0" distL="114300" distR="114300">
            <wp:extent cx="5134610" cy="3493135"/>
            <wp:effectExtent l="0" t="0" r="8890" b="12065"/>
            <wp:docPr id="1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IMG_256"/>
                    <pic:cNvPicPr>
                      <a:picLocks noChangeAspect="1"/>
                    </pic:cNvPicPr>
                  </pic:nvPicPr>
                  <pic:blipFill>
                    <a:blip r:embed="rId17"/>
                    <a:stretch>
                      <a:fillRect/>
                    </a:stretch>
                  </pic:blipFill>
                  <pic:spPr>
                    <a:xfrm>
                      <a:off x="0" y="0"/>
                      <a:ext cx="5134610" cy="3493135"/>
                    </a:xfrm>
                    <a:prstGeom prst="rect">
                      <a:avLst/>
                    </a:prstGeom>
                    <a:noFill/>
                    <a:ln>
                      <a:noFill/>
                    </a:ln>
                  </pic:spPr>
                </pic:pic>
              </a:graphicData>
            </a:graphic>
          </wp:inline>
        </w:drawing>
      </w:r>
    </w:p>
    <w:p>
      <w:pPr>
        <w:widowControl/>
        <w:snapToGrid w:val="0"/>
        <w:ind w:firstLine="0"/>
        <w:jc w:val="left"/>
        <w:rPr>
          <w:sz w:val="21"/>
        </w:rPr>
      </w:pPr>
    </w:p>
    <w:p>
      <w:pPr>
        <w:widowControl/>
        <w:snapToGrid w:val="0"/>
        <w:ind w:firstLine="2940" w:firstLineChars="1400"/>
        <w:jc w:val="left"/>
        <w:rPr>
          <w:sz w:val="21"/>
        </w:rPr>
      </w:pPr>
      <w:r>
        <w:rPr>
          <w:rFonts w:hint="eastAsia"/>
          <w:sz w:val="21"/>
        </w:rPr>
        <w:t>第三章部分节选</w:t>
      </w:r>
    </w:p>
    <w:p>
      <w:pPr>
        <w:widowControl/>
        <w:snapToGrid w:val="0"/>
        <w:ind w:firstLine="0"/>
        <w:jc w:val="left"/>
        <w:rPr>
          <w:sz w:val="21"/>
        </w:rPr>
      </w:pPr>
    </w:p>
    <w:p>
      <w:pPr>
        <w:widowControl/>
        <w:snapToGrid w:val="0"/>
        <w:ind w:firstLine="0"/>
        <w:jc w:val="left"/>
        <w:rPr>
          <w:sz w:val="21"/>
        </w:rPr>
      </w:pPr>
    </w:p>
    <w:p>
      <w:pPr>
        <w:widowControl/>
        <w:snapToGrid w:val="0"/>
        <w:ind w:firstLine="0"/>
        <w:jc w:val="left"/>
        <w:rPr>
          <w:sz w:val="21"/>
        </w:rPr>
      </w:pPr>
    </w:p>
    <w:p>
      <w:pPr>
        <w:widowControl/>
        <w:snapToGrid w:val="0"/>
        <w:ind w:firstLine="0"/>
        <w:jc w:val="left"/>
        <w:rPr>
          <w:sz w:val="21"/>
        </w:rPr>
      </w:pPr>
      <w:r>
        <w:rPr>
          <w:sz w:val="24"/>
        </w:rPr>
        <w:drawing>
          <wp:inline distT="0" distB="0" distL="114300" distR="114300">
            <wp:extent cx="5391785" cy="4161790"/>
            <wp:effectExtent l="0" t="0" r="18415" b="10160"/>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18"/>
                    <a:stretch>
                      <a:fillRect/>
                    </a:stretch>
                  </pic:blipFill>
                  <pic:spPr>
                    <a:xfrm>
                      <a:off x="0" y="0"/>
                      <a:ext cx="5391785" cy="4161790"/>
                    </a:xfrm>
                    <a:prstGeom prst="rect">
                      <a:avLst/>
                    </a:prstGeom>
                    <a:noFill/>
                    <a:ln>
                      <a:noFill/>
                    </a:ln>
                  </pic:spPr>
                </pic:pic>
              </a:graphicData>
            </a:graphic>
          </wp:inline>
        </w:drawing>
      </w:r>
    </w:p>
    <w:p>
      <w:pPr>
        <w:widowControl/>
        <w:snapToGrid w:val="0"/>
        <w:ind w:firstLine="0"/>
        <w:jc w:val="left"/>
        <w:rPr>
          <w:sz w:val="21"/>
        </w:rPr>
      </w:pPr>
    </w:p>
    <w:p/>
    <w:sectPr>
      <w:footerReference r:id="rId10" w:type="default"/>
      <w:pgSz w:w="11906" w:h="16838"/>
      <w:pgMar w:top="1418" w:right="1106" w:bottom="1418"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7"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4153"/>
        <w:tab w:val="center" w:pos="8306"/>
      </w:tabs>
      <w:snapToGrid w:val="0"/>
      <w:ind w:firstLine="0"/>
      <w:jc w:val="left"/>
      <w:rPr>
        <w:sz w:val="18"/>
      </w:rPr>
    </w:pPr>
    <w:r>
      <w:rPr>
        <w:sz w:val="18"/>
      </w:rPr>
      <w:pict>
        <v:rect id="_x0000_s3076" o:spid="_x0000_s3076" o:spt="1" style="position:absolute;left:0pt;margin-left:222.25pt;margin-top:0pt;height:10.35pt;width:9pt;mso-wrap-style:none;z-index:251660288;mso-width-relative:page;mso-height-relative:page;" filled="f" stroked="f" coordsize="21600,21600" o:gfxdata="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NJupPTAAAABwEAAA8AAAAAAAAAAQAgAAAAIgAAAGRycy9kb3ducmV2&#10;LnhtbFBLAQIUABQAAAAIAIdO4kA2HeSfyAEAAJgDAAAOAAAAAAAAAAEAIAAAACIBAABkcnMvZTJv&#10;RG9jLnhtbFBLBQYAAAAABgAGAFkBAABcBQAAAAA=&#10;">
          <v:path/>
          <v:fill on="f" focussize="0,0"/>
          <v:stroke on="f"/>
          <v:imagedata o:title=""/>
          <o:lock v:ext="edit"/>
          <v:textbox inset="0mm,0mm,0mm,0mm" style="mso-fit-shape-to-text:t;">
            <w:txbxContent>
              <w:p>
                <w:pPr>
                  <w:tabs>
                    <w:tab w:val="right" w:pos="4153"/>
                    <w:tab w:val="center" w:pos="8306"/>
                  </w:tabs>
                  <w:snapToGrid w:val="0"/>
                  <w:ind w:firstLine="0"/>
                  <w:jc w:val="left"/>
                  <w:rPr>
                    <w:sz w:val="18"/>
                  </w:rPr>
                </w:pPr>
                <w:r>
                  <w:rPr>
                    <w:sz w:val="18"/>
                  </w:rPr>
                  <w:fldChar w:fldCharType="begin"/>
                </w:r>
                <w:r>
                  <w:instrText xml:space="preserve">PAGE</w:instrText>
                </w:r>
                <w:r>
                  <w:rPr>
                    <w:sz w:val="18"/>
                  </w:rPr>
                  <w:fldChar w:fldCharType="separate"/>
                </w:r>
                <w:r>
                  <w:t>2</w:t>
                </w:r>
                <w:r>
                  <w:rPr>
                    <w:sz w:val="18"/>
                  </w:rPr>
                  <w:fldChar w:fldCharType="end"/>
                </w:r>
              </w:p>
            </w:txbxContent>
          </v:textbox>
        </v:rect>
      </w:pict>
    </w:r>
  </w:p>
  <w:p>
    <w:pPr>
      <w:tabs>
        <w:tab w:val="right" w:pos="4153"/>
        <w:tab w:val="center" w:pos="8306"/>
      </w:tabs>
      <w:snapToGrid w:val="0"/>
      <w:ind w:right="360" w:firstLine="0"/>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4153"/>
        <w:tab w:val="center" w:pos="8306"/>
      </w:tabs>
      <w:snapToGrid w:val="0"/>
      <w:ind w:firstLine="0"/>
      <w:jc w:val="center"/>
      <w:rPr>
        <w:sz w:val="18"/>
      </w:rPr>
    </w:pPr>
    <w:r>
      <w:rPr>
        <w:sz w:val="18"/>
      </w:rPr>
      <w:pict>
        <v:rect id="_x0000_s3075" o:spid="_x0000_s3075" o:spt="1" style="position:absolute;left:0pt;margin-left:154.75pt;margin-top:0pt;height:10.35pt;width:144pt;mso-wrap-style:none;z-index:251661312;mso-width-relative:page;mso-height-relative:page;" filled="f" stroked="f" coordsize="21600,21600" o:gfxdata="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s2DVdQAAAAHAQAADwAAAAAAAAABACAAAAAiAAAAZHJzL2Rvd25y&#10;ZXYueG1sUEsBAhQAFAAAAAgAh07iQBxO05DJAQAAmQMAAA4AAAAAAAAAAQAgAAAAIwEAAGRycy9l&#10;Mm9Eb2MueG1sUEsFBgAAAAAGAAYAWQEAAF4FAAAAAA==&#10;">
          <v:path/>
          <v:fill on="f" focussize="0,0"/>
          <v:stroke on="f"/>
          <v:imagedata o:title=""/>
          <o:lock v:ext="edit"/>
          <v:textbox inset="0mm,0mm,0mm,0mm" style="mso-fit-shape-to-text:t;">
            <w:txbxContent>
              <w:p>
                <w:pPr>
                  <w:tabs>
                    <w:tab w:val="right" w:pos="4153"/>
                    <w:tab w:val="center" w:pos="8306"/>
                  </w:tabs>
                  <w:snapToGrid w:val="0"/>
                  <w:ind w:firstLine="0"/>
                  <w:jc w:val="left"/>
                  <w:rPr>
                    <w:sz w:val="18"/>
                  </w:rPr>
                </w:pPr>
                <w:r>
                  <w:rPr>
                    <w:sz w:val="18"/>
                  </w:rPr>
                  <w:fldChar w:fldCharType="begin"/>
                </w:r>
                <w:r>
                  <w:instrText xml:space="preserve">PAGE</w:instrText>
                </w:r>
                <w:r>
                  <w:rPr>
                    <w:sz w:val="18"/>
                  </w:rPr>
                  <w:fldChar w:fldCharType="separate"/>
                </w:r>
                <w:r>
                  <w:t>25</w:t>
                </w:r>
                <w:r>
                  <w:rPr>
                    <w:sz w:val="18"/>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4153"/>
        <w:tab w:val="center" w:pos="8306"/>
      </w:tabs>
      <w:snapToGrid w:val="0"/>
      <w:ind w:right="360" w:firstLine="0"/>
      <w:jc w:val="center"/>
      <w:rPr>
        <w:sz w:val="18"/>
      </w:rPr>
    </w:pPr>
    <w:r>
      <w:rPr>
        <w:sz w:val="18"/>
      </w:rPr>
      <w:pict>
        <v:rect id="_x0000_s3074" o:spid="_x0000_s3074" o:spt="1" style="position:absolute;left:0pt;margin-left:278.05pt;margin-top:0pt;height:10.35pt;width:144pt;mso-wrap-style:none;z-index:251662336;mso-width-relative:page;mso-height-relative:page;" filled="f" stroked="f" coordsize="21600,21600" o:gfxdata="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uhRFtQAAAAHAQAADwAAAAAAAAABACAAAAAiAAAAZHJzL2Rvd25y&#10;ZXYueG1sUEsBAhQAFAAAAAgAh07iQLqrRjTJAQAAmQMAAA4AAAAAAAAAAQAgAAAAIwEAAGRycy9l&#10;Mm9Eb2MueG1sUEsFBgAAAAAGAAYAWQEAAF4FAAAAAA==&#10;">
          <v:path/>
          <v:fill on="f" focussize="0,0"/>
          <v:stroke on="f"/>
          <v:imagedata o:title=""/>
          <o:lock v:ext="edit"/>
          <v:textbox inset="0mm,0mm,0mm,0mm" style="mso-fit-shape-to-text:t;">
            <w:txbxContent>
              <w:p>
                <w:pPr>
                  <w:tabs>
                    <w:tab w:val="right" w:pos="4153"/>
                    <w:tab w:val="center" w:pos="8306"/>
                  </w:tabs>
                  <w:snapToGrid w:val="0"/>
                  <w:ind w:right="360" w:firstLine="0"/>
                  <w:jc w:val="center"/>
                  <w:rPr>
                    <w:sz w:val="18"/>
                  </w:rPr>
                </w:pPr>
                <w:r>
                  <w:rPr>
                    <w:sz w:val="18"/>
                  </w:rPr>
                  <w:t xml:space="preserve">- </w:t>
                </w:r>
                <w:r>
                  <w:rPr>
                    <w:sz w:val="18"/>
                  </w:rPr>
                  <w:fldChar w:fldCharType="begin"/>
                </w:r>
                <w:r>
                  <w:instrText xml:space="preserve">PAGE</w:instrText>
                </w:r>
                <w:r>
                  <w:rPr>
                    <w:sz w:val="18"/>
                  </w:rPr>
                  <w:fldChar w:fldCharType="separate"/>
                </w:r>
                <w:r>
                  <w:t>36</w:t>
                </w:r>
                <w:r>
                  <w:rPr>
                    <w:sz w:val="18"/>
                  </w:rPr>
                  <w:fldChar w:fldCharType="end"/>
                </w:r>
                <w:r>
                  <w:rPr>
                    <w:sz w:val="18"/>
                  </w:rPr>
                  <w:t xml:space="preserve"> -</w:t>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4153"/>
        <w:tab w:val="center" w:pos="8306"/>
      </w:tabs>
      <w:snapToGrid w:val="0"/>
      <w:ind w:right="360" w:firstLine="0"/>
      <w:jc w:val="center"/>
      <w:rPr>
        <w:sz w:val="18"/>
      </w:rPr>
    </w:pPr>
    <w:r>
      <w:rPr>
        <w:sz w:val="18"/>
      </w:rPr>
      <w:t xml:space="preserve">- </w:t>
    </w:r>
    <w:r>
      <w:rPr>
        <w:sz w:val="18"/>
      </w:rPr>
      <w:fldChar w:fldCharType="begin"/>
    </w:r>
    <w:r>
      <w:rPr>
        <w:sz w:val="18"/>
      </w:rPr>
      <w:instrText xml:space="preserve">PAGE</w:instrText>
    </w:r>
    <w:r>
      <w:rPr>
        <w:sz w:val="18"/>
      </w:rPr>
      <w:fldChar w:fldCharType="separate"/>
    </w:r>
    <w:r>
      <w:rPr>
        <w:sz w:val="18"/>
      </w:rPr>
      <w:t>9</w:t>
    </w:r>
    <w:r>
      <w:rPr>
        <w:sz w:val="18"/>
      </w:rPr>
      <w:fldChar w:fldCharType="end"/>
    </w:r>
    <w:r>
      <w:rPr>
        <w:sz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4153"/>
        <w:tab w:val="center" w:pos="8306"/>
      </w:tabs>
      <w:snapToGrid w:val="0"/>
      <w:ind w:firstLine="0"/>
      <w:jc w:val="center"/>
      <w:rPr>
        <w:b/>
        <w:sz w:val="28"/>
      </w:rPr>
    </w:pPr>
    <w:r>
      <w:rPr>
        <w:b/>
        <w:sz w:val="28"/>
      </w:rPr>
      <w:t xml:space="preserve">— </w:t>
    </w:r>
    <w:r>
      <w:rPr>
        <w:b/>
        <w:sz w:val="28"/>
      </w:rPr>
      <w:fldChar w:fldCharType="begin"/>
    </w:r>
    <w:r>
      <w:rPr>
        <w:b/>
        <w:sz w:val="28"/>
      </w:rPr>
      <w:instrText xml:space="preserve">PAGE</w:instrText>
    </w:r>
    <w:r>
      <w:rPr>
        <w:b/>
        <w:sz w:val="28"/>
      </w:rPr>
      <w:fldChar w:fldCharType="separate"/>
    </w:r>
    <w:r>
      <w:rPr>
        <w:b/>
        <w:sz w:val="28"/>
      </w:rPr>
      <w:t>23</w:t>
    </w:r>
    <w:r>
      <w:rPr>
        <w:b/>
        <w:sz w:val="28"/>
      </w:rPr>
      <w:fldChar w:fldCharType="end"/>
    </w:r>
    <w:r>
      <w:rPr>
        <w:b/>
        <w:sz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4153"/>
        <w:tab w:val="center" w:pos="8306"/>
      </w:tabs>
      <w:snapToGrid w:val="0"/>
      <w:ind w:firstLine="0"/>
      <w:jc w:val="left"/>
      <w:rPr>
        <w:sz w:val="18"/>
      </w:rPr>
    </w:pPr>
    <w:r>
      <w:rPr>
        <w:sz w:val="18"/>
      </w:rPr>
      <w:pict>
        <v:rect id="_x0000_s3073" o:spid="_x0000_s3073" o:spt="1" style="position:absolute;left:0pt;margin-left:162.55pt;margin-top:0pt;height:10.35pt;width:144pt;mso-wrap-style:none;z-index:251663360;mso-width-relative:page;mso-height-relative:page;" filled="f" stroked="f" coordsize="21600,21600" o:gfxdata="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y7f/fUAAAABwEAAA8AAAAAAAAAAQAgAAAAIgAAAGRycy9kb3du&#10;cmV2LnhtbFBLAQIUABQAAAAIAIdO4kB/DAJnygEAAJsDAAAOAAAAAAAAAAEAIAAAACMBAABkcnMv&#10;ZTJvRG9jLnhtbFBLBQYAAAAABgAGAFkBAABfBQAAAAA=&#10;">
          <v:path/>
          <v:fill on="f" focussize="0,0"/>
          <v:stroke on="f"/>
          <v:imagedata o:title=""/>
          <o:lock v:ext="edit"/>
          <v:textbox inset="0mm,0mm,0mm,0mm" style="mso-fit-shape-to-text:t;">
            <w:txbxContent>
              <w:p>
                <w:pPr>
                  <w:tabs>
                    <w:tab w:val="right" w:pos="4153"/>
                    <w:tab w:val="center" w:pos="8306"/>
                  </w:tabs>
                  <w:snapToGrid w:val="0"/>
                  <w:ind w:firstLine="0"/>
                  <w:jc w:val="left"/>
                  <w:rPr>
                    <w:sz w:val="18"/>
                  </w:rPr>
                </w:pPr>
                <w:r>
                  <w:rPr>
                    <w:sz w:val="18"/>
                  </w:rPr>
                  <w:fldChar w:fldCharType="begin"/>
                </w:r>
                <w:r>
                  <w:instrText xml:space="preserve">PAGE</w:instrText>
                </w:r>
                <w:r>
                  <w:rPr>
                    <w:sz w:val="18"/>
                  </w:rPr>
                  <w:fldChar w:fldCharType="separate"/>
                </w:r>
                <w:r>
                  <w:t>30</w:t>
                </w:r>
                <w:r>
                  <w:rPr>
                    <w:sz w:val="18"/>
                  </w:rPr>
                  <w:fldChar w:fldCharType="end"/>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snapToGrid w:val="0"/>
        <w:ind w:firstLine="0"/>
        <w:jc w:val="left"/>
        <w:rPr>
          <w:rFonts w:ascii="仿宋_GB2312" w:eastAsia="仿宋_GB2312"/>
          <w:sz w:val="21"/>
        </w:rPr>
      </w:pPr>
      <w:r>
        <w:rPr>
          <w:rFonts w:ascii="仿宋_GB2312" w:eastAsia="仿宋_GB2312"/>
          <w:sz w:val="18"/>
          <w:vertAlign w:val="superscript"/>
        </w:rPr>
        <w:footnoteRef/>
      </w:r>
      <w:r>
        <w:rPr>
          <w:rFonts w:hint="eastAsia" w:ascii="仿宋_GB2312" w:eastAsia="仿宋_GB2312"/>
          <w:sz w:val="21"/>
        </w:rPr>
        <w:t>此处表述为：“课程教学周数”</w:t>
      </w:r>
      <w:r>
        <w:rPr>
          <w:rFonts w:ascii="仿宋_GB2312" w:eastAsia="仿宋_GB2312"/>
          <w:sz w:val="21"/>
        </w:rPr>
        <w:t>+</w:t>
      </w:r>
      <w:r>
        <w:rPr>
          <w:rFonts w:hint="eastAsia" w:ascii="仿宋_GB2312" w:eastAsia="仿宋_GB2312"/>
          <w:sz w:val="21"/>
        </w:rPr>
        <w:t>“学期内专周实训（或入学教育、毕业教育）周数”</w:t>
      </w:r>
      <w:r>
        <w:rPr>
          <w:rFonts w:ascii="仿宋_GB2312" w:eastAsia="仿宋_GB2312"/>
          <w:sz w:val="21"/>
        </w:rPr>
        <w:t>+</w:t>
      </w:r>
      <w:r>
        <w:rPr>
          <w:rFonts w:hint="eastAsia" w:ascii="仿宋_GB2312" w:eastAsia="仿宋_GB2312"/>
          <w:sz w:val="21"/>
        </w:rPr>
        <w:t>“后续假期实践周数”。</w:t>
      </w:r>
    </w:p>
    <w:p>
      <w:pPr>
        <w:snapToGrid w:val="0"/>
        <w:ind w:left="210" w:firstLine="210"/>
        <w:jc w:val="left"/>
        <w:rPr>
          <w:rFonts w:ascii="仿宋_GB2312" w:eastAsia="仿宋_GB2312"/>
          <w:sz w:val="21"/>
        </w:rPr>
      </w:pPr>
      <w:r>
        <w:rPr>
          <w:rFonts w:hint="eastAsia" w:ascii="仿宋_GB2312" w:eastAsia="仿宋_GB2312"/>
          <w:sz w:val="21"/>
        </w:rPr>
        <w:t>要求：</w:t>
      </w:r>
      <w:r>
        <w:rPr>
          <w:rFonts w:ascii="仿宋_GB2312" w:eastAsia="仿宋_GB2312"/>
          <w:sz w:val="21"/>
        </w:rPr>
        <w:t>1.</w:t>
      </w:r>
      <w:r>
        <w:rPr>
          <w:rFonts w:hint="eastAsia" w:ascii="仿宋_GB2312" w:eastAsia="仿宋_GB2312"/>
          <w:sz w:val="21"/>
        </w:rPr>
        <w:t>“课程教学周数”</w:t>
      </w:r>
      <w:r>
        <w:rPr>
          <w:rFonts w:ascii="仿宋_GB2312" w:eastAsia="仿宋_GB2312"/>
          <w:sz w:val="21"/>
        </w:rPr>
        <w:t>+</w:t>
      </w:r>
      <w:r>
        <w:rPr>
          <w:rFonts w:hint="eastAsia" w:ascii="仿宋_GB2312" w:eastAsia="仿宋_GB2312"/>
          <w:sz w:val="21"/>
        </w:rPr>
        <w:t>“学期内专周实训（或入学教育、</w:t>
      </w:r>
      <w:r>
        <w:rPr>
          <w:rFonts w:hint="eastAsia" w:ascii="仿宋_GB2312" w:eastAsia="仿宋_GB2312"/>
          <w:color w:val="000000"/>
          <w:sz w:val="21"/>
        </w:rPr>
        <w:t>军训、</w:t>
      </w:r>
      <w:r>
        <w:rPr>
          <w:rFonts w:hint="eastAsia" w:ascii="仿宋_GB2312" w:eastAsia="仿宋_GB2312"/>
          <w:sz w:val="21"/>
        </w:rPr>
        <w:t>毕业教育）周数”</w:t>
      </w:r>
      <w:r>
        <w:rPr>
          <w:rFonts w:ascii="仿宋_GB2312" w:eastAsia="仿宋_GB2312"/>
          <w:sz w:val="21"/>
        </w:rPr>
        <w:t xml:space="preserve">= </w:t>
      </w:r>
      <w:r>
        <w:rPr>
          <w:rFonts w:hint="eastAsia" w:ascii="仿宋_GB2312" w:eastAsia="仿宋_GB2312"/>
          <w:sz w:val="21"/>
        </w:rPr>
        <w:t>学期教学周数（一般为</w:t>
      </w:r>
      <w:r>
        <w:rPr>
          <w:rFonts w:ascii="仿宋_GB2312" w:eastAsia="仿宋_GB2312"/>
          <w:sz w:val="21"/>
        </w:rPr>
        <w:t>18</w:t>
      </w:r>
      <w:r>
        <w:rPr>
          <w:rFonts w:hint="eastAsia" w:ascii="仿宋_GB2312" w:eastAsia="仿宋_GB2312"/>
          <w:sz w:val="21"/>
        </w:rPr>
        <w:t>周），</w:t>
      </w:r>
      <w:r>
        <w:rPr>
          <w:rFonts w:hint="eastAsia" w:ascii="仿宋_GB2312" w:eastAsia="仿宋_GB2312"/>
          <w:color w:val="000000"/>
          <w:sz w:val="21"/>
        </w:rPr>
        <w:t>其中第七学期为</w:t>
      </w:r>
      <w:r>
        <w:rPr>
          <w:rFonts w:ascii="仿宋_GB2312" w:eastAsia="仿宋_GB2312"/>
          <w:color w:val="000000"/>
          <w:sz w:val="21"/>
        </w:rPr>
        <w:t>17</w:t>
      </w:r>
      <w:r>
        <w:rPr>
          <w:rFonts w:hint="eastAsia" w:ascii="仿宋_GB2312" w:eastAsia="仿宋_GB2312"/>
          <w:color w:val="000000"/>
          <w:sz w:val="21"/>
        </w:rPr>
        <w:t>周。</w:t>
      </w:r>
    </w:p>
    <w:p>
      <w:pPr>
        <w:snapToGrid w:val="0"/>
        <w:ind w:left="840" w:firstLine="840"/>
        <w:jc w:val="left"/>
        <w:rPr>
          <w:rFonts w:ascii="仿宋_GB2312" w:eastAsia="仿宋_GB2312"/>
          <w:sz w:val="21"/>
        </w:rPr>
      </w:pPr>
      <w:r>
        <w:rPr>
          <w:rFonts w:ascii="仿宋_GB2312" w:eastAsia="仿宋_GB2312"/>
          <w:sz w:val="21"/>
        </w:rPr>
        <w:t>2.</w:t>
      </w:r>
      <w:r>
        <w:rPr>
          <w:rFonts w:hint="eastAsia" w:ascii="仿宋_GB2312" w:eastAsia="仿宋_GB2312"/>
          <w:sz w:val="21"/>
        </w:rPr>
        <w:t>学期教学周数</w:t>
      </w:r>
      <w:r>
        <w:rPr>
          <w:rFonts w:ascii="仿宋_GB2312" w:eastAsia="仿宋_GB2312"/>
          <w:sz w:val="21"/>
        </w:rPr>
        <w:t>+</w:t>
      </w:r>
      <w:r>
        <w:rPr>
          <w:rFonts w:hint="eastAsia" w:ascii="仿宋_GB2312" w:eastAsia="仿宋_GB2312"/>
          <w:sz w:val="21"/>
        </w:rPr>
        <w:t>考试周</w:t>
      </w:r>
      <w:r>
        <w:rPr>
          <w:rFonts w:ascii="仿宋_GB2312" w:eastAsia="仿宋_GB2312"/>
          <w:sz w:val="21"/>
        </w:rPr>
        <w:t>+</w:t>
      </w:r>
      <w:r>
        <w:rPr>
          <w:rFonts w:hint="eastAsia" w:ascii="仿宋_GB2312" w:eastAsia="仿宋_GB2312"/>
          <w:sz w:val="21"/>
        </w:rPr>
        <w:t>机动周</w:t>
      </w:r>
      <w:r>
        <w:rPr>
          <w:rFonts w:ascii="仿宋_GB2312" w:eastAsia="仿宋_GB2312"/>
          <w:sz w:val="21"/>
        </w:rPr>
        <w:t>=20</w:t>
      </w:r>
      <w:r>
        <w:rPr>
          <w:rFonts w:hint="eastAsia" w:ascii="仿宋_GB2312" w:eastAsia="仿宋_GB2312"/>
          <w:sz w:val="21"/>
        </w:rPr>
        <w:t>周</w:t>
      </w:r>
    </w:p>
    <w:p>
      <w:pPr>
        <w:snapToGrid w:val="0"/>
        <w:ind w:left="210" w:firstLine="210"/>
        <w:jc w:val="left"/>
        <w:rPr>
          <w:rFonts w:ascii="仿宋_GB2312" w:eastAsia="仿宋_GB2312"/>
          <w:sz w:val="21"/>
        </w:rPr>
      </w:pPr>
      <w:r>
        <w:rPr>
          <w:rFonts w:hint="eastAsia" w:ascii="仿宋_GB2312" w:eastAsia="仿宋_GB2312"/>
          <w:sz w:val="21"/>
        </w:rPr>
        <w:t>例如：某学期“学期教学周数”为</w:t>
      </w:r>
      <w:r>
        <w:rPr>
          <w:rFonts w:ascii="仿宋_GB2312" w:eastAsia="仿宋_GB2312"/>
          <w:sz w:val="21"/>
        </w:rPr>
        <w:t>16</w:t>
      </w:r>
      <w:r>
        <w:rPr>
          <w:rFonts w:hint="eastAsia" w:ascii="仿宋_GB2312" w:eastAsia="仿宋_GB2312"/>
          <w:sz w:val="21"/>
        </w:rPr>
        <w:t>周，安排专周实训</w:t>
      </w:r>
      <w:r>
        <w:rPr>
          <w:rFonts w:ascii="仿宋_GB2312" w:eastAsia="仿宋_GB2312"/>
          <w:sz w:val="21"/>
        </w:rPr>
        <w:t>2</w:t>
      </w:r>
      <w:r>
        <w:rPr>
          <w:rFonts w:hint="eastAsia" w:ascii="仿宋_GB2312" w:eastAsia="仿宋_GB2312"/>
          <w:sz w:val="21"/>
        </w:rPr>
        <w:t>周，后续假期要求学生参加实践</w:t>
      </w:r>
      <w:r>
        <w:rPr>
          <w:rFonts w:ascii="仿宋_GB2312" w:eastAsia="仿宋_GB2312"/>
          <w:sz w:val="21"/>
        </w:rPr>
        <w:t>3</w:t>
      </w:r>
      <w:r>
        <w:rPr>
          <w:rFonts w:hint="eastAsia" w:ascii="仿宋_GB2312" w:eastAsia="仿宋_GB2312"/>
          <w:sz w:val="21"/>
        </w:rPr>
        <w:t>周，表示为：</w:t>
      </w:r>
      <w:r>
        <w:rPr>
          <w:rFonts w:ascii="仿宋_GB2312" w:eastAsia="仿宋_GB2312"/>
          <w:sz w:val="21"/>
        </w:rPr>
        <w:t>16+2+3</w:t>
      </w:r>
      <w:r>
        <w:rPr>
          <w:rFonts w:hint="eastAsia" w:ascii="仿宋_GB2312" w:eastAsia="仿宋_GB2312"/>
          <w:sz w:val="21"/>
        </w:rPr>
        <w:t>。</w:t>
      </w:r>
    </w:p>
    <w:p>
      <w:pPr>
        <w:numPr>
          <w:ilvl w:val="0"/>
          <w:numId w:val="1"/>
        </w:numPr>
        <w:snapToGrid w:val="0"/>
        <w:jc w:val="left"/>
        <w:rPr>
          <w:rFonts w:ascii="仿宋_GB2312" w:eastAsia="仿宋_GB2312"/>
          <w:sz w:val="21"/>
        </w:rPr>
      </w:pPr>
      <w:r>
        <w:rPr>
          <w:rFonts w:hint="eastAsia" w:ascii="仿宋_GB2312" w:eastAsia="仿宋_GB2312"/>
          <w:color w:val="000000"/>
          <w:sz w:val="21"/>
        </w:rPr>
        <w:t>此处</w:t>
      </w:r>
      <w:r>
        <w:rPr>
          <w:rFonts w:ascii="仿宋_GB2312" w:eastAsia="仿宋_GB2312"/>
          <w:color w:val="000000"/>
          <w:sz w:val="21"/>
        </w:rPr>
        <w:t>*</w:t>
      </w:r>
      <w:r>
        <w:rPr>
          <w:rFonts w:hint="eastAsia" w:ascii="仿宋_GB2312" w:eastAsia="仿宋_GB2312"/>
          <w:color w:val="000000"/>
          <w:sz w:val="21"/>
        </w:rPr>
        <w:t>表示为：该学时为课外教学活动时间，计入学分，但不计为课内教学活动时间</w:t>
      </w:r>
      <w:r>
        <w:rPr>
          <w:rFonts w:hint="eastAsia"/>
          <w:color w:val="000000"/>
          <w:sz w:val="18"/>
        </w:rPr>
        <w:t>。</w:t>
      </w:r>
    </w:p>
    <w:p>
      <w:pPr>
        <w:pStyle w:val="2"/>
        <w:numPr>
          <w:ilvl w:val="0"/>
          <w:numId w:val="1"/>
        </w:numPr>
        <w:ind w:firstLine="200" w:firstLineChars="0"/>
        <w:rPr>
          <w:rFonts w:ascii="仿宋" w:hAnsi="仿宋" w:eastAsia="仿宋"/>
          <w:color w:val="000000" w:themeColor="text1"/>
          <w:sz w:val="21"/>
        </w:rPr>
      </w:pPr>
      <w:r>
        <w:rPr>
          <w:rFonts w:hint="eastAsia" w:ascii="仿宋" w:hAnsi="仿宋" w:eastAsia="仿宋" w:cs="仿宋"/>
          <w:color w:val="000000" w:themeColor="text1"/>
          <w:sz w:val="21"/>
          <w:szCs w:val="21"/>
        </w:rPr>
        <w:t>习近平新时代中国特色社会主义思想概论</w:t>
      </w:r>
      <w:r>
        <w:rPr>
          <w:rFonts w:hint="eastAsia" w:ascii="仿宋" w:hAnsi="仿宋" w:eastAsia="仿宋" w:cs="仿宋"/>
          <w:color w:val="000000" w:themeColor="text1"/>
          <w:sz w:val="21"/>
          <w:szCs w:val="21"/>
          <w:lang w:eastAsia="zh-CN"/>
        </w:rPr>
        <w:t>：</w:t>
      </w:r>
      <w:r>
        <w:rPr>
          <w:rFonts w:hint="eastAsia" w:ascii="仿宋" w:hAnsi="仿宋" w:eastAsia="仿宋"/>
          <w:color w:val="000000" w:themeColor="text1"/>
          <w:sz w:val="21"/>
        </w:rPr>
        <w:t>文创及商务系在7学期考察，其余系部在第8学期考察</w:t>
      </w:r>
      <w:r>
        <w:rPr>
          <w:rFonts w:hint="eastAsia" w:ascii="仿宋" w:hAnsi="仿宋" w:eastAsia="仿宋"/>
          <w:color w:val="000000" w:themeColor="text1"/>
          <w:sz w:val="21"/>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6" w:space="1"/>
      </w:pBdr>
      <w:tabs>
        <w:tab w:val="right" w:pos="4153"/>
        <w:tab w:val="center" w:pos="8306"/>
      </w:tabs>
      <w:snapToGrid w:val="0"/>
      <w:ind w:firstLine="0"/>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26785"/>
    <w:multiLevelType w:val="singleLevel"/>
    <w:tmpl w:val="EE726785"/>
    <w:lvl w:ilvl="0" w:tentative="0">
      <w:start w:val="1"/>
      <w:numFmt w:val="decimal"/>
      <w:lvlText w:val="%1."/>
      <w:lvlJc w:val="left"/>
      <w:pPr>
        <w:tabs>
          <w:tab w:val="left" w:pos="312"/>
        </w:tabs>
      </w:pPr>
    </w:lvl>
  </w:abstractNum>
  <w:abstractNum w:abstractNumId="1">
    <w:nsid w:val="FA036E83"/>
    <w:multiLevelType w:val="singleLevel"/>
    <w:tmpl w:val="FA036E83"/>
    <w:lvl w:ilvl="0" w:tentative="0">
      <w:start w:val="3"/>
      <w:numFmt w:val="decimal"/>
      <w:suff w:val="nothing"/>
      <w:lvlText w:val="（%1）"/>
      <w:lvlJc w:val="left"/>
    </w:lvl>
  </w:abstractNum>
  <w:abstractNum w:abstractNumId="2">
    <w:nsid w:val="2DAADA22"/>
    <w:multiLevelType w:val="singleLevel"/>
    <w:tmpl w:val="2DAADA22"/>
    <w:lvl w:ilvl="0" w:tentative="0">
      <w:start w:val="1"/>
      <w:numFmt w:val="decimal"/>
      <w:suff w:val="nothing"/>
      <w:lvlText w:val="（%1）"/>
      <w:lvlJc w:val="left"/>
    </w:lvl>
  </w:abstractNum>
  <w:abstractNum w:abstractNumId="3">
    <w:nsid w:val="5C946298"/>
    <w:multiLevelType w:val="singleLevel"/>
    <w:tmpl w:val="5C946298"/>
    <w:lvl w:ilvl="0" w:tentative="0">
      <w:start w:val="1"/>
      <w:numFmt w:val="decimal"/>
      <w:lvlText w:val="%1."/>
      <w:lvlJc w:val="left"/>
      <w:pPr>
        <w:ind w:left="0" w:firstLine="0"/>
      </w:pPr>
      <w:rPr>
        <w:rFonts w:hint="default" w:ascii="宋体" w:hAnsi="宋体"/>
        <w:spacing w:val="0"/>
        <w:w w:val="100"/>
        <w:sz w:val="20"/>
      </w:rPr>
    </w:lvl>
  </w:abstractNum>
  <w:abstractNum w:abstractNumId="4">
    <w:nsid w:val="5C94629A"/>
    <w:multiLevelType w:val="singleLevel"/>
    <w:tmpl w:val="5C94629A"/>
    <w:lvl w:ilvl="0" w:tentative="0">
      <w:start w:val="3"/>
      <w:numFmt w:val="decimal"/>
      <w:suff w:val="space"/>
      <w:lvlText w:val="%1."/>
      <w:lvlJc w:val="left"/>
      <w:pPr>
        <w:ind w:left="0" w:firstLine="0"/>
      </w:pPr>
      <w:rPr>
        <w:rFonts w:hint="default" w:ascii="宋体" w:hAnsi="宋体"/>
        <w:spacing w:val="0"/>
        <w:w w:val="100"/>
        <w:sz w:val="20"/>
      </w:rPr>
    </w:lvl>
  </w:abstractNum>
  <w:num w:numId="1">
    <w:abstractNumId w:val="4"/>
  </w:num>
  <w:num w:numId="2">
    <w:abstractNumId w:val="2"/>
  </w:num>
  <w:num w:numId="3">
    <w:abstractNumId w:val="1"/>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Y2MTdiNmJjNzEzMmJjZmUxOTlkMTg4MDdhYmUzZDcifQ=="/>
    <w:docVar w:name="KSO_WPS_MARK_KEY" w:val="9188efa8-33cf-4919-9c54-e22ccaa82325"/>
  </w:docVars>
  <w:rsids>
    <w:rsidRoot w:val="00A63D9C"/>
    <w:rsid w:val="000C662A"/>
    <w:rsid w:val="000F69E7"/>
    <w:rsid w:val="0012255C"/>
    <w:rsid w:val="00126D1F"/>
    <w:rsid w:val="001413C5"/>
    <w:rsid w:val="001559F0"/>
    <w:rsid w:val="00157AA3"/>
    <w:rsid w:val="0017489E"/>
    <w:rsid w:val="001C097E"/>
    <w:rsid w:val="001E45C9"/>
    <w:rsid w:val="001E4EE7"/>
    <w:rsid w:val="00244517"/>
    <w:rsid w:val="00291222"/>
    <w:rsid w:val="002E2ADB"/>
    <w:rsid w:val="00332B27"/>
    <w:rsid w:val="00344E8C"/>
    <w:rsid w:val="003B1B51"/>
    <w:rsid w:val="003B3ED2"/>
    <w:rsid w:val="003B6178"/>
    <w:rsid w:val="00467B17"/>
    <w:rsid w:val="004A5973"/>
    <w:rsid w:val="004E6072"/>
    <w:rsid w:val="00512C1B"/>
    <w:rsid w:val="00524F7A"/>
    <w:rsid w:val="005729B7"/>
    <w:rsid w:val="005B5AA3"/>
    <w:rsid w:val="005F6E7F"/>
    <w:rsid w:val="00682477"/>
    <w:rsid w:val="00686E09"/>
    <w:rsid w:val="006B32F2"/>
    <w:rsid w:val="006B53AD"/>
    <w:rsid w:val="00741581"/>
    <w:rsid w:val="007A0945"/>
    <w:rsid w:val="008459B4"/>
    <w:rsid w:val="008C5DE5"/>
    <w:rsid w:val="008E3A0A"/>
    <w:rsid w:val="0093354E"/>
    <w:rsid w:val="009A79EB"/>
    <w:rsid w:val="009D09D7"/>
    <w:rsid w:val="00A35DBE"/>
    <w:rsid w:val="00A63D9C"/>
    <w:rsid w:val="00A64F1C"/>
    <w:rsid w:val="00BB04AD"/>
    <w:rsid w:val="00BE6277"/>
    <w:rsid w:val="00C87132"/>
    <w:rsid w:val="00C95E69"/>
    <w:rsid w:val="00CB7AF4"/>
    <w:rsid w:val="00CC612D"/>
    <w:rsid w:val="00DB0388"/>
    <w:rsid w:val="00DB6965"/>
    <w:rsid w:val="00DC5CBF"/>
    <w:rsid w:val="00DE5499"/>
    <w:rsid w:val="00EA3894"/>
    <w:rsid w:val="00EE1A49"/>
    <w:rsid w:val="02925AB3"/>
    <w:rsid w:val="02FA351C"/>
    <w:rsid w:val="0424184B"/>
    <w:rsid w:val="053F6F70"/>
    <w:rsid w:val="0D35493D"/>
    <w:rsid w:val="0D621BB9"/>
    <w:rsid w:val="0EE661D7"/>
    <w:rsid w:val="0FEE0BED"/>
    <w:rsid w:val="10311164"/>
    <w:rsid w:val="11773D04"/>
    <w:rsid w:val="1195606A"/>
    <w:rsid w:val="130B50B7"/>
    <w:rsid w:val="13F1178A"/>
    <w:rsid w:val="14522290"/>
    <w:rsid w:val="151612B1"/>
    <w:rsid w:val="15223EB1"/>
    <w:rsid w:val="15C80019"/>
    <w:rsid w:val="15C81D48"/>
    <w:rsid w:val="18553091"/>
    <w:rsid w:val="190636C4"/>
    <w:rsid w:val="19CB40FC"/>
    <w:rsid w:val="1DFA1F2C"/>
    <w:rsid w:val="1F3F2F23"/>
    <w:rsid w:val="2028683B"/>
    <w:rsid w:val="207F3F7E"/>
    <w:rsid w:val="244E4DE9"/>
    <w:rsid w:val="26D25749"/>
    <w:rsid w:val="270B17AB"/>
    <w:rsid w:val="28230021"/>
    <w:rsid w:val="29EB0C14"/>
    <w:rsid w:val="2B6150C9"/>
    <w:rsid w:val="2C444274"/>
    <w:rsid w:val="2D4B4972"/>
    <w:rsid w:val="2F031B7D"/>
    <w:rsid w:val="2FDA0CEC"/>
    <w:rsid w:val="30001861"/>
    <w:rsid w:val="30D33CB6"/>
    <w:rsid w:val="30FF3C3E"/>
    <w:rsid w:val="31A634B7"/>
    <w:rsid w:val="32003B23"/>
    <w:rsid w:val="32243BD9"/>
    <w:rsid w:val="34A2429A"/>
    <w:rsid w:val="35B53AEC"/>
    <w:rsid w:val="37B0530C"/>
    <w:rsid w:val="37E92F46"/>
    <w:rsid w:val="387465E8"/>
    <w:rsid w:val="3945267B"/>
    <w:rsid w:val="3A0B132E"/>
    <w:rsid w:val="3A804602"/>
    <w:rsid w:val="3C5D0DDC"/>
    <w:rsid w:val="3CAA23A2"/>
    <w:rsid w:val="3CDB4AAC"/>
    <w:rsid w:val="3CFD0909"/>
    <w:rsid w:val="3D322460"/>
    <w:rsid w:val="3E346621"/>
    <w:rsid w:val="3ED84DA1"/>
    <w:rsid w:val="40CE190F"/>
    <w:rsid w:val="428B0ABD"/>
    <w:rsid w:val="436D3AC9"/>
    <w:rsid w:val="4437578F"/>
    <w:rsid w:val="45826071"/>
    <w:rsid w:val="46587B4A"/>
    <w:rsid w:val="47E9736E"/>
    <w:rsid w:val="48171FCA"/>
    <w:rsid w:val="497F7EBD"/>
    <w:rsid w:val="4B2D1EB4"/>
    <w:rsid w:val="4C3667FA"/>
    <w:rsid w:val="4C415E05"/>
    <w:rsid w:val="4C681EB5"/>
    <w:rsid w:val="4DE6456B"/>
    <w:rsid w:val="4E672420"/>
    <w:rsid w:val="4E7F4505"/>
    <w:rsid w:val="4F8B4F18"/>
    <w:rsid w:val="501F2DCA"/>
    <w:rsid w:val="509823C0"/>
    <w:rsid w:val="51230036"/>
    <w:rsid w:val="513B4E0C"/>
    <w:rsid w:val="519A258E"/>
    <w:rsid w:val="52483CD2"/>
    <w:rsid w:val="529875CE"/>
    <w:rsid w:val="53574CD3"/>
    <w:rsid w:val="55084E1A"/>
    <w:rsid w:val="56856864"/>
    <w:rsid w:val="56892335"/>
    <w:rsid w:val="57673230"/>
    <w:rsid w:val="57687515"/>
    <w:rsid w:val="5A4B5E6B"/>
    <w:rsid w:val="5A975C0F"/>
    <w:rsid w:val="5AEE3B70"/>
    <w:rsid w:val="5B900400"/>
    <w:rsid w:val="5BEF50A3"/>
    <w:rsid w:val="5D2418A5"/>
    <w:rsid w:val="60FC671B"/>
    <w:rsid w:val="6114505C"/>
    <w:rsid w:val="6319593B"/>
    <w:rsid w:val="63237F41"/>
    <w:rsid w:val="650526EF"/>
    <w:rsid w:val="65FE36E3"/>
    <w:rsid w:val="66CA175E"/>
    <w:rsid w:val="670225CF"/>
    <w:rsid w:val="679448FC"/>
    <w:rsid w:val="67AE5FC0"/>
    <w:rsid w:val="686B68BF"/>
    <w:rsid w:val="68C17107"/>
    <w:rsid w:val="6A0541B6"/>
    <w:rsid w:val="6A956915"/>
    <w:rsid w:val="6B503581"/>
    <w:rsid w:val="6C6B0957"/>
    <w:rsid w:val="6D3119FD"/>
    <w:rsid w:val="6DC219A5"/>
    <w:rsid w:val="6E8537EA"/>
    <w:rsid w:val="6EBB1D22"/>
    <w:rsid w:val="717D1206"/>
    <w:rsid w:val="72434575"/>
    <w:rsid w:val="740B4D20"/>
    <w:rsid w:val="75144F90"/>
    <w:rsid w:val="7555484A"/>
    <w:rsid w:val="761014CC"/>
    <w:rsid w:val="76B455F0"/>
    <w:rsid w:val="779C14D9"/>
    <w:rsid w:val="77B36DC3"/>
    <w:rsid w:val="78FA2C45"/>
    <w:rsid w:val="79A15BA2"/>
    <w:rsid w:val="7A2F1242"/>
    <w:rsid w:val="7AE271FB"/>
    <w:rsid w:val="7B3D5A89"/>
    <w:rsid w:val="7C8A0AC3"/>
    <w:rsid w:val="7CAE2E66"/>
    <w:rsid w:val="7CB31570"/>
    <w:rsid w:val="7D500768"/>
    <w:rsid w:val="7D7B0C16"/>
    <w:rsid w:val="7E8D23AD"/>
    <w:rsid w:val="7EEA09AA"/>
    <w:rsid w:val="7FAA3B3C"/>
    <w:rsid w:val="7FC26C16"/>
    <w:rsid w:val="FEBD6B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3584"/>
      <w:jc w:val="both"/>
    </w:pPr>
    <w:rPr>
      <w:rFonts w:ascii="宋体" w:hAnsi="宋体" w:eastAsia="Malgun Gothic" w:cs="Times New Roman"/>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rPr>
      <w:rFonts w:ascii="@楷体_GB2312" w:hAnsi="@楷体_GB2312"/>
      <w:kern w:val="2"/>
      <w:sz w:val="21"/>
      <w:szCs w:val="24"/>
    </w:rPr>
  </w:style>
  <w:style w:type="paragraph" w:styleId="4">
    <w:name w:val="annotation text"/>
    <w:basedOn w:val="1"/>
    <w:link w:val="18"/>
    <w:qFormat/>
    <w:uiPriority w:val="99"/>
    <w:pPr>
      <w:jc w:val="left"/>
    </w:pPr>
  </w:style>
  <w:style w:type="paragraph" w:styleId="5">
    <w:name w:val="Balloon Text"/>
    <w:basedOn w:val="1"/>
    <w:link w:val="16"/>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9"/>
    <w:qFormat/>
    <w:uiPriority w:val="0"/>
    <w:rPr>
      <w:b/>
      <w:bCs/>
    </w:rPr>
  </w:style>
  <w:style w:type="character" w:styleId="11">
    <w:name w:val="page number"/>
    <w:basedOn w:val="10"/>
    <w:qFormat/>
    <w:uiPriority w:val="99"/>
    <w:rPr>
      <w:rFonts w:cs="Times New Roman"/>
    </w:rPr>
  </w:style>
  <w:style w:type="character" w:styleId="12">
    <w:name w:val="Hyperlink"/>
    <w:qFormat/>
    <w:uiPriority w:val="0"/>
    <w:rPr>
      <w:color w:val="0000FF"/>
      <w:u w:val="single"/>
    </w:rPr>
  </w:style>
  <w:style w:type="character" w:styleId="13">
    <w:name w:val="annotation reference"/>
    <w:basedOn w:val="10"/>
    <w:qFormat/>
    <w:uiPriority w:val="99"/>
    <w:rPr>
      <w:sz w:val="21"/>
      <w:szCs w:val="21"/>
    </w:rPr>
  </w:style>
  <w:style w:type="character" w:customStyle="1" w:styleId="14">
    <w:name w:val="页眉 Char"/>
    <w:basedOn w:val="10"/>
    <w:link w:val="7"/>
    <w:qFormat/>
    <w:uiPriority w:val="0"/>
    <w:rPr>
      <w:rFonts w:ascii="宋体" w:hAnsi="宋体" w:eastAsia="Malgun Gothic"/>
      <w:sz w:val="18"/>
      <w:szCs w:val="18"/>
    </w:rPr>
  </w:style>
  <w:style w:type="character" w:customStyle="1" w:styleId="15">
    <w:name w:val="页脚 Char"/>
    <w:basedOn w:val="10"/>
    <w:link w:val="6"/>
    <w:qFormat/>
    <w:uiPriority w:val="0"/>
    <w:rPr>
      <w:rFonts w:ascii="宋体" w:hAnsi="宋体" w:eastAsia="Malgun Gothic"/>
      <w:sz w:val="18"/>
      <w:szCs w:val="18"/>
    </w:rPr>
  </w:style>
  <w:style w:type="character" w:customStyle="1" w:styleId="16">
    <w:name w:val="批注框文本 Char"/>
    <w:basedOn w:val="10"/>
    <w:link w:val="5"/>
    <w:qFormat/>
    <w:uiPriority w:val="0"/>
    <w:rPr>
      <w:rFonts w:ascii="宋体" w:hAnsi="宋体" w:eastAsia="Malgun Gothic"/>
      <w:sz w:val="18"/>
      <w:szCs w:val="18"/>
    </w:rPr>
  </w:style>
  <w:style w:type="paragraph" w:customStyle="1" w:styleId="17">
    <w:name w:val="修订1"/>
    <w:hidden/>
    <w:semiHidden/>
    <w:qFormat/>
    <w:uiPriority w:val="99"/>
    <w:rPr>
      <w:rFonts w:ascii="宋体" w:hAnsi="宋体" w:eastAsia="Malgun Gothic" w:cs="Times New Roman"/>
      <w:lang w:val="en-US" w:eastAsia="zh-CN" w:bidi="ar-SA"/>
    </w:rPr>
  </w:style>
  <w:style w:type="character" w:customStyle="1" w:styleId="18">
    <w:name w:val="批注文字 Char"/>
    <w:basedOn w:val="10"/>
    <w:link w:val="4"/>
    <w:qFormat/>
    <w:uiPriority w:val="99"/>
    <w:rPr>
      <w:rFonts w:ascii="宋体" w:hAnsi="宋体" w:eastAsia="Malgun Gothic" w:cs="Times New Roman"/>
    </w:rPr>
  </w:style>
  <w:style w:type="character" w:customStyle="1" w:styleId="19">
    <w:name w:val="批注主题 Char"/>
    <w:basedOn w:val="18"/>
    <w:link w:val="8"/>
    <w:qFormat/>
    <w:uiPriority w:val="0"/>
    <w:rPr>
      <w:rFonts w:ascii="宋体" w:hAnsi="宋体" w:eastAsia="Malgun Gothic" w:cs="Times New Roman"/>
      <w:b/>
      <w:bCs/>
    </w:rPr>
  </w:style>
  <w:style w:type="character" w:customStyle="1" w:styleId="20">
    <w:name w:val="font21"/>
    <w:basedOn w:val="10"/>
    <w:qFormat/>
    <w:uiPriority w:val="0"/>
    <w:rPr>
      <w:rFonts w:hint="eastAsia" w:ascii="仿宋_GB2312" w:eastAsia="仿宋_GB2312" w:cs="仿宋_GB2312"/>
      <w:color w:val="000000"/>
      <w:sz w:val="24"/>
      <w:szCs w:val="24"/>
      <w:u w:val="none"/>
    </w:rPr>
  </w:style>
  <w:style w:type="character" w:customStyle="1" w:styleId="21">
    <w:name w:val="font01"/>
    <w:basedOn w:val="10"/>
    <w:qFormat/>
    <w:uiPriority w:val="0"/>
    <w:rPr>
      <w:rFonts w:hint="eastAsia" w:ascii="仿宋_GB2312" w:eastAsia="仿宋_GB2312" w:cs="仿宋_GB2312"/>
      <w:color w:val="FF0000"/>
      <w:sz w:val="24"/>
      <w:szCs w:val="24"/>
      <w:u w:val="none"/>
    </w:rPr>
  </w:style>
  <w:style w:type="character" w:customStyle="1" w:styleId="22">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6"/>
    <customShpInfo spid="_x0000_s3075"/>
    <customShpInfo spid="_x0000_s3074"/>
    <customShpInfo spid="_x0000_s3073"/>
    <customShpInfo spid="_x0000_s1026"/>
    <customShpInfo spid="_x0000_s2056"/>
    <customShpInfo spid="_x0000_s2064"/>
    <customShpInfo spid="_x0000_s2065"/>
    <customShpInfo spid="_x0000_s2066"/>
    <customShpInfo spid="_x0000_s2068"/>
    <customShpInfo spid="_x0000_s2063"/>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C19DB-95F3-4D75-ACC4-1AABDD2D943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28110</Words>
  <Characters>28860</Characters>
  <Lines>245</Lines>
  <Paragraphs>69</Paragraphs>
  <TotalTime>1</TotalTime>
  <ScaleCrop>false</ScaleCrop>
  <LinksUpToDate>false</LinksUpToDate>
  <CharactersWithSpaces>29173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2023-03-16T04:37:00Z</dcterms:created>
  <dc:creator>Administrator</dc:creator>
  <cp:lastModifiedBy>Administrator</cp:lastModifiedBy>
  <cp:lastPrinted>2023-04-27T00:48:00Z</cp:lastPrinted>
  <dcterms:modified xsi:type="dcterms:W3CDTF">2023-05-09T05:03:27Z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82D6EC2EA42B4F87A6A2D8AE3D287EC1</vt:lpwstr>
  </property>
</Properties>
</file>