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425EF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sz w:val="32"/>
          <w:szCs w:val="32"/>
        </w:rPr>
      </w:pPr>
      <w:r>
        <w:rPr>
          <w:rFonts w:hint="eastAsia" w:ascii="宋体" w:hAnsi="宋体" w:eastAsia="宋体" w:cs="宋体"/>
          <w:b/>
          <w:bCs/>
          <w:sz w:val="32"/>
          <w:szCs w:val="32"/>
          <w:lang w:eastAsia="zh-CN"/>
        </w:rPr>
        <w:t>2025年行政家具及值班室家具采购项目</w:t>
      </w:r>
    </w:p>
    <w:p w14:paraId="654C742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一、项目编号：</w:t>
      </w:r>
      <w:r>
        <w:rPr>
          <w:rFonts w:hint="eastAsia" w:ascii="宋体" w:hAnsi="宋体" w:eastAsia="宋体" w:cs="宋体"/>
          <w:b/>
          <w:bCs/>
          <w:sz w:val="24"/>
          <w:szCs w:val="24"/>
          <w:lang w:eastAsia="zh-CN"/>
        </w:rPr>
        <w:t>FJMH-2025-032</w:t>
      </w:r>
      <w:r>
        <w:rPr>
          <w:rFonts w:hint="eastAsia" w:ascii="宋体" w:hAnsi="宋体" w:eastAsia="宋体" w:cs="宋体"/>
          <w:b/>
          <w:bCs/>
          <w:sz w:val="24"/>
          <w:szCs w:val="24"/>
        </w:rPr>
        <w:t>（招标文件编号：</w:t>
      </w:r>
      <w:r>
        <w:rPr>
          <w:rFonts w:hint="eastAsia" w:ascii="宋体" w:hAnsi="宋体" w:eastAsia="宋体" w:cs="宋体"/>
          <w:b/>
          <w:bCs/>
          <w:sz w:val="24"/>
          <w:szCs w:val="24"/>
          <w:lang w:eastAsia="zh-CN"/>
        </w:rPr>
        <w:t>FJMH-2025-032</w:t>
      </w:r>
      <w:r>
        <w:rPr>
          <w:rFonts w:hint="eastAsia" w:ascii="宋体" w:hAnsi="宋体" w:eastAsia="宋体" w:cs="宋体"/>
          <w:b/>
          <w:bCs/>
          <w:sz w:val="24"/>
          <w:szCs w:val="24"/>
        </w:rPr>
        <w:t>）</w:t>
      </w:r>
    </w:p>
    <w:p w14:paraId="73B7D65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rPr>
        <w:t>二、项目名称：</w:t>
      </w:r>
      <w:r>
        <w:rPr>
          <w:rFonts w:hint="eastAsia" w:ascii="宋体" w:hAnsi="宋体" w:eastAsia="宋体" w:cs="宋体"/>
          <w:b/>
          <w:bCs/>
          <w:sz w:val="24"/>
          <w:szCs w:val="24"/>
          <w:lang w:eastAsia="zh-CN"/>
        </w:rPr>
        <w:t>2025年行政家具及值班室家具采购项目</w:t>
      </w:r>
    </w:p>
    <w:p w14:paraId="071B38A8">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三、中标（成交）信息</w:t>
      </w:r>
      <w:bookmarkStart w:id="0" w:name="_GoBack"/>
      <w:bookmarkEnd w:id="0"/>
    </w:p>
    <w:p w14:paraId="7CFBD4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供应商名称：</w:t>
      </w:r>
      <w:r>
        <w:rPr>
          <w:rFonts w:hint="eastAsia" w:ascii="宋体" w:hAnsi="宋体" w:eastAsia="宋体" w:cs="宋体"/>
          <w:sz w:val="24"/>
          <w:szCs w:val="24"/>
          <w:lang w:eastAsia="zh-CN"/>
        </w:rPr>
        <w:t>福州吉汇兴家具有限公司</w:t>
      </w:r>
    </w:p>
    <w:p w14:paraId="6690432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供应商地址：</w:t>
      </w:r>
      <w:r>
        <w:rPr>
          <w:rFonts w:hint="eastAsia" w:ascii="宋体" w:hAnsi="宋体" w:eastAsia="宋体" w:cs="宋体"/>
          <w:sz w:val="24"/>
          <w:szCs w:val="24"/>
          <w:lang w:eastAsia="zh-CN"/>
        </w:rPr>
        <w:t>福建省福州市闽侯县南屿镇乌龙江南大道79号信通国际中心A地块1#楼5层512办公-1</w:t>
      </w:r>
    </w:p>
    <w:p w14:paraId="2450C20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中标（成交）金额：</w:t>
      </w:r>
      <w:r>
        <w:rPr>
          <w:rFonts w:hint="eastAsia" w:ascii="宋体" w:hAnsi="宋体" w:eastAsia="宋体" w:cs="宋体"/>
          <w:i w:val="0"/>
          <w:iCs w:val="0"/>
          <w:color w:val="000000"/>
          <w:kern w:val="0"/>
          <w:sz w:val="24"/>
          <w:szCs w:val="24"/>
          <w:u w:val="none"/>
          <w:lang w:val="en-US" w:eastAsia="zh-CN" w:bidi="ar"/>
        </w:rPr>
        <w:t xml:space="preserve">13.765000 </w:t>
      </w:r>
      <w:r>
        <w:rPr>
          <w:rFonts w:hint="eastAsia" w:ascii="宋体" w:hAnsi="宋体" w:eastAsia="宋体" w:cs="宋体"/>
          <w:sz w:val="24"/>
          <w:szCs w:val="24"/>
        </w:rPr>
        <w:t>（万元）</w:t>
      </w:r>
    </w:p>
    <w:p w14:paraId="175BEBB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四、主要标的信息</w:t>
      </w:r>
    </w:p>
    <w:tbl>
      <w:tblPr>
        <w:tblStyle w:val="4"/>
        <w:tblW w:w="9638" w:type="dxa"/>
        <w:tblInd w:w="0" w:type="dxa"/>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FFFFFF"/>
        <w:tblLayout w:type="autofit"/>
        <w:tblCellMar>
          <w:top w:w="0" w:type="dxa"/>
          <w:left w:w="0" w:type="dxa"/>
          <w:bottom w:w="0" w:type="dxa"/>
          <w:right w:w="0" w:type="dxa"/>
        </w:tblCellMar>
      </w:tblPr>
      <w:tblGrid>
        <w:gridCol w:w="419"/>
        <w:gridCol w:w="1390"/>
        <w:gridCol w:w="1333"/>
        <w:gridCol w:w="1312"/>
        <w:gridCol w:w="2343"/>
        <w:gridCol w:w="1219"/>
        <w:gridCol w:w="1622"/>
      </w:tblGrid>
      <w:tr w14:paraId="5FB9A752">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14:paraId="10E96D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序号</w:t>
            </w:r>
          </w:p>
        </w:tc>
        <w:tc>
          <w:tcPr>
            <w:tcW w:w="1390" w:type="dxa"/>
            <w:tcBorders>
              <w:top w:val="outset" w:color="auto" w:sz="6" w:space="0"/>
              <w:left w:val="outset" w:color="auto" w:sz="8" w:space="0"/>
              <w:bottom w:val="outset" w:color="auto" w:sz="8" w:space="0"/>
              <w:right w:val="outset" w:color="auto" w:sz="8" w:space="0"/>
            </w:tcBorders>
            <w:shd w:val="clear" w:color="auto" w:fill="FFFFFF"/>
            <w:vAlign w:val="center"/>
          </w:tcPr>
          <w:p w14:paraId="4CD2FC4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供应商名称</w:t>
            </w:r>
          </w:p>
        </w:tc>
        <w:tc>
          <w:tcPr>
            <w:tcW w:w="1333" w:type="dxa"/>
            <w:tcBorders>
              <w:top w:val="outset" w:color="auto" w:sz="6" w:space="0"/>
              <w:left w:val="outset" w:color="auto" w:sz="8" w:space="0"/>
              <w:bottom w:val="outset" w:color="auto" w:sz="8" w:space="0"/>
              <w:right w:val="outset" w:color="auto" w:sz="8" w:space="0"/>
            </w:tcBorders>
            <w:shd w:val="clear" w:color="auto" w:fill="FFFFFF"/>
            <w:vAlign w:val="center"/>
          </w:tcPr>
          <w:p w14:paraId="03C400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货物名称</w:t>
            </w:r>
          </w:p>
        </w:tc>
        <w:tc>
          <w:tcPr>
            <w:tcW w:w="1312" w:type="dxa"/>
            <w:tcBorders>
              <w:top w:val="outset" w:color="auto" w:sz="6" w:space="0"/>
              <w:left w:val="outset" w:color="auto" w:sz="8" w:space="0"/>
              <w:bottom w:val="outset" w:color="auto" w:sz="8" w:space="0"/>
              <w:right w:val="outset" w:color="auto" w:sz="8" w:space="0"/>
            </w:tcBorders>
            <w:shd w:val="clear" w:color="auto" w:fill="FFFFFF"/>
            <w:vAlign w:val="center"/>
          </w:tcPr>
          <w:p w14:paraId="3726CB43">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货物品牌</w:t>
            </w:r>
          </w:p>
        </w:tc>
        <w:tc>
          <w:tcPr>
            <w:tcW w:w="2343" w:type="dxa"/>
            <w:tcBorders>
              <w:top w:val="outset" w:color="auto" w:sz="6" w:space="0"/>
              <w:left w:val="outset" w:color="auto" w:sz="8" w:space="0"/>
              <w:bottom w:val="outset" w:color="auto" w:sz="8" w:space="0"/>
              <w:right w:val="outset" w:color="auto" w:sz="8" w:space="0"/>
            </w:tcBorders>
            <w:shd w:val="clear" w:color="auto" w:fill="FFFFFF"/>
            <w:vAlign w:val="center"/>
          </w:tcPr>
          <w:p w14:paraId="23CDEC8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货物型号</w:t>
            </w:r>
          </w:p>
        </w:tc>
        <w:tc>
          <w:tcPr>
            <w:tcW w:w="1219" w:type="dxa"/>
            <w:tcBorders>
              <w:top w:val="outset" w:color="auto" w:sz="6" w:space="0"/>
              <w:left w:val="outset" w:color="auto" w:sz="8" w:space="0"/>
              <w:bottom w:val="outset" w:color="auto" w:sz="8" w:space="0"/>
              <w:right w:val="outset" w:color="auto" w:sz="8" w:space="0"/>
            </w:tcBorders>
            <w:shd w:val="clear" w:color="auto" w:fill="FFFFFF"/>
            <w:vAlign w:val="center"/>
          </w:tcPr>
          <w:p w14:paraId="4D99D49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货物数量</w:t>
            </w:r>
          </w:p>
        </w:tc>
        <w:tc>
          <w:tcPr>
            <w:tcW w:w="1622" w:type="dxa"/>
            <w:tcBorders>
              <w:top w:val="outset" w:color="auto" w:sz="6" w:space="0"/>
              <w:left w:val="outset" w:color="auto" w:sz="8" w:space="0"/>
              <w:bottom w:val="outset" w:color="auto" w:sz="8" w:space="0"/>
              <w:right w:val="outset" w:color="auto" w:sz="8" w:space="0"/>
            </w:tcBorders>
            <w:shd w:val="clear" w:color="auto" w:fill="FFFFFF"/>
            <w:vAlign w:val="center"/>
          </w:tcPr>
          <w:p w14:paraId="29B3770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货物单价(元)</w:t>
            </w:r>
          </w:p>
        </w:tc>
      </w:tr>
      <w:tr w14:paraId="50ACDA96">
        <w:tblPrEx>
          <w:tblBorders>
            <w:top w:val="outset" w:color="auto" w:sz="18" w:space="0"/>
            <w:left w:val="outset" w:color="auto" w:sz="18" w:space="0"/>
            <w:bottom w:val="outset" w:color="auto" w:sz="18" w:space="0"/>
            <w:right w:val="outset" w:color="auto" w:sz="18" w:space="0"/>
            <w:insideH w:val="outset" w:color="auto" w:sz="18" w:space="0"/>
            <w:insideV w:val="outset" w:color="auto" w:sz="18" w:space="0"/>
          </w:tblBorders>
          <w:shd w:val="clear" w:color="auto" w:fill="FFFFFF"/>
          <w:tblCellMar>
            <w:top w:w="0" w:type="dxa"/>
            <w:left w:w="0" w:type="dxa"/>
            <w:bottom w:w="0" w:type="dxa"/>
            <w:right w:w="0" w:type="dxa"/>
          </w:tblCellMar>
        </w:tblPrEx>
        <w:tc>
          <w:tcPr>
            <w:tcW w:w="0" w:type="auto"/>
            <w:tcBorders>
              <w:top w:val="outset" w:color="auto" w:sz="6" w:space="0"/>
              <w:left w:val="outset" w:color="auto" w:sz="8" w:space="0"/>
              <w:bottom w:val="outset" w:color="auto" w:sz="8" w:space="0"/>
              <w:right w:val="outset" w:color="auto" w:sz="8" w:space="0"/>
            </w:tcBorders>
            <w:shd w:val="clear" w:color="auto" w:fill="FFFFFF"/>
            <w:vAlign w:val="center"/>
          </w:tcPr>
          <w:p w14:paraId="04E3896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p>
        </w:tc>
        <w:tc>
          <w:tcPr>
            <w:tcW w:w="1390" w:type="dxa"/>
            <w:tcBorders>
              <w:top w:val="outset" w:color="auto" w:sz="6" w:space="0"/>
              <w:left w:val="outset" w:color="auto" w:sz="8" w:space="0"/>
              <w:bottom w:val="outset" w:color="auto" w:sz="8" w:space="0"/>
              <w:right w:val="outset" w:color="auto" w:sz="8" w:space="0"/>
            </w:tcBorders>
            <w:shd w:val="clear" w:color="auto" w:fill="FFFFFF"/>
            <w:vAlign w:val="center"/>
          </w:tcPr>
          <w:p w14:paraId="5589EE1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福州吉汇兴家具有限公司</w:t>
            </w:r>
          </w:p>
        </w:tc>
        <w:tc>
          <w:tcPr>
            <w:tcW w:w="1333" w:type="dxa"/>
            <w:tcBorders>
              <w:top w:val="outset" w:color="auto" w:sz="6" w:space="0"/>
              <w:left w:val="outset" w:color="auto" w:sz="8" w:space="0"/>
              <w:bottom w:val="outset" w:color="auto" w:sz="8" w:space="0"/>
              <w:right w:val="outset" w:color="auto" w:sz="8" w:space="0"/>
            </w:tcBorders>
            <w:shd w:val="clear" w:color="auto" w:fill="FFFFFF"/>
            <w:vAlign w:val="center"/>
          </w:tcPr>
          <w:p w14:paraId="06E9210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rPr>
            </w:pPr>
            <w:r>
              <w:rPr>
                <w:rFonts w:hint="eastAsia" w:ascii="宋体" w:hAnsi="宋体" w:cs="宋体"/>
                <w:color w:val="auto"/>
                <w:kern w:val="2"/>
                <w:sz w:val="24"/>
                <w:szCs w:val="24"/>
                <w:lang w:val="en-US" w:eastAsia="zh-CN" w:bidi="ar-SA"/>
              </w:rPr>
              <w:t>矮柜、床、床垫1、床垫2等</w:t>
            </w:r>
          </w:p>
        </w:tc>
        <w:tc>
          <w:tcPr>
            <w:tcW w:w="1312" w:type="dxa"/>
            <w:tcBorders>
              <w:top w:val="outset" w:color="auto" w:sz="6" w:space="0"/>
              <w:left w:val="outset" w:color="auto" w:sz="8" w:space="0"/>
              <w:bottom w:val="outset" w:color="auto" w:sz="8" w:space="0"/>
              <w:right w:val="outset" w:color="auto" w:sz="8" w:space="0"/>
            </w:tcBorders>
            <w:shd w:val="clear" w:color="auto" w:fill="FFFFFF"/>
            <w:vAlign w:val="center"/>
          </w:tcPr>
          <w:p w14:paraId="041B076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颂泰、颂泰、颂泰、颂泰等</w:t>
            </w:r>
          </w:p>
        </w:tc>
        <w:tc>
          <w:tcPr>
            <w:tcW w:w="2343" w:type="dxa"/>
            <w:tcBorders>
              <w:top w:val="outset" w:color="auto" w:sz="6" w:space="0"/>
              <w:left w:val="outset" w:color="auto" w:sz="8" w:space="0"/>
              <w:bottom w:val="outset" w:color="auto" w:sz="8" w:space="0"/>
              <w:right w:val="outset" w:color="auto" w:sz="8" w:space="0"/>
            </w:tcBorders>
            <w:shd w:val="clear" w:color="auto" w:fill="FFFFFF"/>
            <w:vAlign w:val="center"/>
          </w:tcPr>
          <w:p w14:paraId="3A74A08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ST-G6060、ST-C1520、ST-D1520A、ST-D1520B等</w:t>
            </w:r>
          </w:p>
        </w:tc>
        <w:tc>
          <w:tcPr>
            <w:tcW w:w="1219" w:type="dxa"/>
            <w:tcBorders>
              <w:top w:val="outset" w:color="auto" w:sz="6" w:space="0"/>
              <w:left w:val="outset" w:color="auto" w:sz="8" w:space="0"/>
              <w:bottom w:val="outset" w:color="auto" w:sz="8" w:space="0"/>
              <w:right w:val="outset" w:color="auto" w:sz="8" w:space="0"/>
            </w:tcBorders>
            <w:shd w:val="clear" w:color="auto" w:fill="FFFFFF"/>
            <w:vAlign w:val="center"/>
          </w:tcPr>
          <w:p w14:paraId="17B4E7B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1个、7张、6张、1张等</w:t>
            </w:r>
          </w:p>
        </w:tc>
        <w:tc>
          <w:tcPr>
            <w:tcW w:w="1622" w:type="dxa"/>
            <w:tcBorders>
              <w:top w:val="outset" w:color="auto" w:sz="6" w:space="0"/>
              <w:left w:val="outset" w:color="auto" w:sz="8" w:space="0"/>
              <w:bottom w:val="outset" w:color="auto" w:sz="8" w:space="0"/>
              <w:right w:val="outset" w:color="auto" w:sz="8" w:space="0"/>
            </w:tcBorders>
            <w:shd w:val="clear" w:color="auto" w:fill="FFFFFF"/>
            <w:vAlign w:val="center"/>
          </w:tcPr>
          <w:p w14:paraId="2005CE5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宋体" w:hAnsi="宋体" w:eastAsia="宋体" w:cs="宋体"/>
                <w:sz w:val="24"/>
                <w:szCs w:val="24"/>
                <w:lang w:val="en-US" w:eastAsia="zh-CN"/>
              </w:rPr>
            </w:pPr>
            <w:r>
              <w:rPr>
                <w:rFonts w:hint="eastAsia" w:ascii="宋体" w:hAnsi="宋体" w:eastAsia="宋体" w:cs="宋体"/>
                <w:sz w:val="24"/>
                <w:szCs w:val="24"/>
                <w:lang w:val="en-US" w:eastAsia="zh-CN"/>
              </w:rPr>
              <w:t>740、3600、1450、1300等</w:t>
            </w:r>
          </w:p>
        </w:tc>
      </w:tr>
    </w:tbl>
    <w:p w14:paraId="4B12AEF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五、评审专家（单一来源采购人员）名单：</w:t>
      </w:r>
    </w:p>
    <w:p w14:paraId="4EDEE4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寇晨丽、郭洪良、叶宁静(采购人代表)</w:t>
      </w:r>
    </w:p>
    <w:p w14:paraId="52E81C1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六、代理服务收费标准及金额：</w:t>
      </w:r>
    </w:p>
    <w:p w14:paraId="56491D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本项目代理费收费标准：</w:t>
      </w:r>
      <w:r>
        <w:rPr>
          <w:rFonts w:ascii="宋体" w:hAnsi="宋体" w:eastAsia="宋体" w:cs="宋体"/>
          <w:bCs/>
          <w:color w:val="auto"/>
          <w:sz w:val="24"/>
          <w:szCs w:val="24"/>
          <w:highlight w:val="none"/>
        </w:rPr>
        <w:t xml:space="preserve">100(万元)以下收费费率标准：1.5%。 </w:t>
      </w:r>
      <w:r>
        <w:rPr>
          <w:rFonts w:hint="eastAsia" w:ascii="宋体" w:hAnsi="宋体" w:eastAsia="宋体" w:cs="宋体"/>
          <w:bCs/>
          <w:color w:val="auto"/>
          <w:sz w:val="24"/>
          <w:szCs w:val="24"/>
          <w:highlight w:val="none"/>
          <w:lang w:val="en-US" w:eastAsia="zh-CN"/>
        </w:rPr>
        <w:t>注：</w:t>
      </w:r>
      <w:r>
        <w:rPr>
          <w:rFonts w:ascii="宋体" w:hAnsi="宋体" w:eastAsia="宋体" w:cs="宋体"/>
          <w:bCs/>
          <w:color w:val="auto"/>
          <w:sz w:val="24"/>
          <w:szCs w:val="24"/>
          <w:highlight w:val="none"/>
        </w:rPr>
        <w:t>招标代理服务费收取方式：(1)成交人应在领取成交通知书的同时按规定的标准一次性向采购代理机构缴清代理服务费。代理服务费以银行转账、电汇、汇票或现金等付款方式。 (2)代理服务费缴交银行账号：开户名：</w:t>
      </w:r>
      <w:r>
        <w:rPr>
          <w:rFonts w:hint="eastAsia" w:ascii="宋体" w:hAnsi="宋体" w:eastAsia="宋体" w:cs="宋体"/>
          <w:bCs/>
          <w:color w:val="auto"/>
          <w:sz w:val="24"/>
          <w:szCs w:val="24"/>
          <w:highlight w:val="none"/>
        </w:rPr>
        <w:t>福建美环招标代理有限公司；开户行：</w:t>
      </w:r>
      <w:r>
        <w:rPr>
          <w:rFonts w:hint="eastAsia" w:ascii="宋体" w:hAnsi="宋体" w:eastAsia="宋体" w:cs="宋体"/>
          <w:bCs/>
          <w:color w:val="auto"/>
          <w:sz w:val="24"/>
          <w:szCs w:val="24"/>
          <w:highlight w:val="none"/>
          <w:lang w:eastAsia="zh-CN"/>
        </w:rPr>
        <w:t>中国建设银行股份有限公司福州和源居支行</w:t>
      </w:r>
      <w:r>
        <w:rPr>
          <w:rFonts w:hint="eastAsia" w:ascii="宋体" w:hAnsi="宋体" w:eastAsia="宋体" w:cs="宋体"/>
          <w:bCs/>
          <w:color w:val="auto"/>
          <w:sz w:val="24"/>
          <w:szCs w:val="24"/>
          <w:highlight w:val="none"/>
        </w:rPr>
        <w:t>；账号：3505 0161 5541 0000 0261</w:t>
      </w:r>
      <w:r>
        <w:rPr>
          <w:rFonts w:hint="eastAsia" w:ascii="宋体" w:hAnsi="宋体" w:eastAsia="宋体" w:cs="宋体"/>
          <w:bCs/>
          <w:color w:val="auto"/>
          <w:sz w:val="24"/>
          <w:szCs w:val="24"/>
          <w:highlight w:val="none"/>
          <w:lang w:eastAsia="zh-CN"/>
        </w:rPr>
        <w:t>。</w:t>
      </w:r>
    </w:p>
    <w:p w14:paraId="1E4650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本项目代理费总金额：</w:t>
      </w:r>
      <w:r>
        <w:rPr>
          <w:rFonts w:hint="eastAsia" w:ascii="宋体" w:hAnsi="宋体" w:eastAsia="宋体" w:cs="宋体"/>
          <w:sz w:val="24"/>
          <w:szCs w:val="24"/>
          <w:lang w:val="en-US" w:eastAsia="zh-CN"/>
        </w:rPr>
        <w:t>0.</w:t>
      </w:r>
      <w:r>
        <w:rPr>
          <w:rFonts w:hint="eastAsia" w:ascii="宋体" w:hAnsi="宋体" w:eastAsia="宋体" w:cs="宋体"/>
          <w:sz w:val="24"/>
          <w:szCs w:val="24"/>
        </w:rPr>
        <w:t>206475万元（人民币）</w:t>
      </w:r>
    </w:p>
    <w:p w14:paraId="7FEE4C3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七、公告期限</w:t>
      </w:r>
    </w:p>
    <w:p w14:paraId="16AF5B9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自本公告发布之日起1个工作日。</w:t>
      </w:r>
    </w:p>
    <w:p w14:paraId="75D22D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八、其它补充事宜</w:t>
      </w:r>
    </w:p>
    <w:p w14:paraId="459EF4D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1、供应商资格性和符合性审查：</w:t>
      </w:r>
    </w:p>
    <w:p w14:paraId="67C5407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(1)供应商资格审查：询价小组按照询价通知书规定的资格标准要求对各响应文件进行审查，经询价小组评议，各供应商的报价资格均符合询价通知书要求。</w:t>
      </w:r>
    </w:p>
    <w:p w14:paraId="6DD6C76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(2)响应文件符合性审查：询价小组按照询价通知书规定的符合性要求对各响应文件进行审查，经询价小组评议，</w:t>
      </w:r>
      <w:r>
        <w:rPr>
          <w:rFonts w:hint="eastAsia" w:ascii="宋体" w:hAnsi="宋体" w:cs="宋体"/>
          <w:kern w:val="0"/>
          <w:sz w:val="24"/>
          <w:highlight w:val="none"/>
          <w:lang w:val="en-US" w:eastAsia="zh-CN"/>
        </w:rPr>
        <w:t>①福建鑫泰家具有限公司提交的样品材质不符合询价通知书的要求，视为样品不合格且其投标无效。</w:t>
      </w:r>
      <w:r>
        <w:rPr>
          <w:rFonts w:hint="eastAsia" w:ascii="宋体" w:hAnsi="宋体"/>
          <w:sz w:val="24"/>
          <w:highlight w:val="none"/>
        </w:rPr>
        <w:t>属于</w:t>
      </w:r>
      <w:r>
        <w:rPr>
          <w:rFonts w:hint="eastAsia" w:ascii="宋体" w:hAnsi="宋体"/>
          <w:sz w:val="24"/>
          <w:highlight w:val="none"/>
          <w:lang w:val="en-US" w:eastAsia="zh-CN"/>
        </w:rPr>
        <w:t>询价通知书</w:t>
      </w:r>
      <w:r>
        <w:rPr>
          <w:rFonts w:hint="eastAsia" w:ascii="宋体" w:hAnsi="宋体"/>
          <w:sz w:val="24"/>
          <w:highlight w:val="none"/>
        </w:rPr>
        <w:t>技术符合性规定的符合性审查不合格情形中“不满足询价通知书第四章《询价内容及要求》“二、技术要求”中任一项要求的。”的情形，经</w:t>
      </w:r>
      <w:r>
        <w:rPr>
          <w:rFonts w:hint="eastAsia" w:ascii="宋体" w:hAnsi="宋体"/>
          <w:sz w:val="24"/>
          <w:highlight w:val="none"/>
          <w:lang w:val="en-US" w:eastAsia="zh-CN"/>
        </w:rPr>
        <w:t>询价小组</w:t>
      </w:r>
      <w:r>
        <w:rPr>
          <w:rFonts w:hint="eastAsia" w:ascii="宋体" w:hAnsi="宋体"/>
          <w:sz w:val="24"/>
          <w:highlight w:val="none"/>
        </w:rPr>
        <w:t>评议</w:t>
      </w:r>
      <w:r>
        <w:rPr>
          <w:rFonts w:hint="eastAsia" w:ascii="宋体" w:hAnsi="宋体"/>
          <w:sz w:val="24"/>
          <w:highlight w:val="none"/>
          <w:lang w:eastAsia="zh-CN"/>
        </w:rPr>
        <w:t>，</w:t>
      </w:r>
      <w:r>
        <w:rPr>
          <w:rFonts w:hint="eastAsia" w:ascii="宋体" w:hAnsi="宋体" w:eastAsia="宋体" w:cs="宋体"/>
          <w:i w:val="0"/>
          <w:iCs w:val="0"/>
          <w:color w:val="000000"/>
          <w:kern w:val="0"/>
          <w:sz w:val="24"/>
          <w:szCs w:val="24"/>
          <w:highlight w:val="none"/>
          <w:u w:val="none"/>
          <w:lang w:val="en-US" w:eastAsia="zh-CN" w:bidi="ar"/>
        </w:rPr>
        <w:t>技术符合性</w:t>
      </w:r>
      <w:r>
        <w:rPr>
          <w:rFonts w:hint="eastAsia" w:ascii="宋体" w:hAnsi="宋体"/>
          <w:sz w:val="24"/>
          <w:highlight w:val="none"/>
        </w:rPr>
        <w:t>不符合，</w:t>
      </w:r>
      <w:r>
        <w:rPr>
          <w:rFonts w:ascii="宋体" w:hAnsi="宋体" w:cs="宋体"/>
          <w:kern w:val="0"/>
          <w:sz w:val="24"/>
          <w:highlight w:val="none"/>
          <w:lang w:bidi="ar"/>
        </w:rPr>
        <w:t>按无效投标处理。</w:t>
      </w:r>
      <w:r>
        <w:rPr>
          <w:rFonts w:hint="eastAsia" w:ascii="宋体" w:hAnsi="宋体" w:cs="宋体"/>
          <w:kern w:val="0"/>
          <w:sz w:val="24"/>
          <w:highlight w:val="none"/>
          <w:lang w:val="en-US" w:eastAsia="zh-CN" w:bidi="ar"/>
        </w:rPr>
        <w:t>②</w:t>
      </w:r>
      <w:r>
        <w:rPr>
          <w:rFonts w:hint="eastAsia" w:ascii="宋体" w:hAnsi="宋体" w:cs="宋体"/>
          <w:kern w:val="0"/>
          <w:sz w:val="24"/>
          <w:highlight w:val="none"/>
          <w:lang w:val="en-US" w:eastAsia="zh-CN"/>
        </w:rPr>
        <w:t>湖南华明家具贸易有限公司提交的样品材质不符合询价通知书的要求，视为样品不合格且其投标无效。</w:t>
      </w:r>
      <w:r>
        <w:rPr>
          <w:rFonts w:hint="eastAsia" w:ascii="宋体" w:hAnsi="宋体"/>
          <w:sz w:val="24"/>
          <w:highlight w:val="none"/>
        </w:rPr>
        <w:t>属于</w:t>
      </w:r>
      <w:r>
        <w:rPr>
          <w:rFonts w:hint="eastAsia" w:ascii="宋体" w:hAnsi="宋体"/>
          <w:sz w:val="24"/>
          <w:highlight w:val="none"/>
          <w:lang w:val="en-US" w:eastAsia="zh-CN"/>
        </w:rPr>
        <w:t>询价通知书</w:t>
      </w:r>
      <w:r>
        <w:rPr>
          <w:rFonts w:hint="eastAsia" w:ascii="宋体" w:hAnsi="宋体"/>
          <w:sz w:val="24"/>
          <w:highlight w:val="none"/>
        </w:rPr>
        <w:t>技术符合性规定的符合性审查不合格情形中“不满足询价通知书第四章《询价内容及要求》“二、技术要求”中任一项要求的。”的情形，经</w:t>
      </w:r>
      <w:r>
        <w:rPr>
          <w:rFonts w:hint="eastAsia" w:ascii="宋体" w:hAnsi="宋体"/>
          <w:sz w:val="24"/>
          <w:highlight w:val="none"/>
          <w:lang w:val="en-US" w:eastAsia="zh-CN"/>
        </w:rPr>
        <w:t>询价小组</w:t>
      </w:r>
      <w:r>
        <w:rPr>
          <w:rFonts w:hint="eastAsia" w:ascii="宋体" w:hAnsi="宋体"/>
          <w:sz w:val="24"/>
          <w:highlight w:val="none"/>
        </w:rPr>
        <w:t>评议</w:t>
      </w:r>
      <w:r>
        <w:rPr>
          <w:rFonts w:hint="eastAsia" w:ascii="宋体" w:hAnsi="宋体"/>
          <w:sz w:val="24"/>
          <w:highlight w:val="none"/>
          <w:lang w:eastAsia="zh-CN"/>
        </w:rPr>
        <w:t>，</w:t>
      </w:r>
      <w:r>
        <w:rPr>
          <w:rFonts w:hint="eastAsia" w:ascii="宋体" w:hAnsi="宋体" w:eastAsia="宋体" w:cs="宋体"/>
          <w:i w:val="0"/>
          <w:iCs w:val="0"/>
          <w:color w:val="000000"/>
          <w:kern w:val="0"/>
          <w:sz w:val="24"/>
          <w:szCs w:val="24"/>
          <w:highlight w:val="none"/>
          <w:u w:val="none"/>
          <w:lang w:val="en-US" w:eastAsia="zh-CN" w:bidi="ar"/>
        </w:rPr>
        <w:t>技术符合性</w:t>
      </w:r>
      <w:r>
        <w:rPr>
          <w:rFonts w:hint="eastAsia" w:ascii="宋体" w:hAnsi="宋体"/>
          <w:sz w:val="24"/>
          <w:highlight w:val="none"/>
        </w:rPr>
        <w:t>不符合，</w:t>
      </w:r>
      <w:r>
        <w:rPr>
          <w:rFonts w:ascii="宋体" w:hAnsi="宋体" w:cs="宋体"/>
          <w:kern w:val="0"/>
          <w:sz w:val="24"/>
          <w:highlight w:val="none"/>
          <w:lang w:bidi="ar"/>
        </w:rPr>
        <w:t>按无效投标处理。</w:t>
      </w:r>
      <w:r>
        <w:rPr>
          <w:rFonts w:hint="eastAsia" w:ascii="宋体" w:hAnsi="宋体" w:cs="宋体"/>
          <w:kern w:val="0"/>
          <w:sz w:val="24"/>
          <w:highlight w:val="none"/>
          <w:lang w:val="en-US" w:eastAsia="zh-CN" w:bidi="ar"/>
        </w:rPr>
        <w:t>③其余</w:t>
      </w:r>
      <w:r>
        <w:rPr>
          <w:rFonts w:hint="eastAsia" w:ascii="宋体" w:hAnsi="宋体" w:cs="宋体"/>
          <w:kern w:val="0"/>
          <w:sz w:val="24"/>
        </w:rPr>
        <w:t>各合格</w:t>
      </w:r>
      <w:r>
        <w:rPr>
          <w:rFonts w:hint="eastAsia" w:ascii="宋体" w:hAnsi="宋体" w:cs="宋体"/>
          <w:kern w:val="0"/>
          <w:sz w:val="24"/>
          <w:lang w:eastAsia="zh-CN"/>
        </w:rPr>
        <w:t>供应商</w:t>
      </w:r>
      <w:r>
        <w:rPr>
          <w:rFonts w:hint="eastAsia" w:ascii="宋体" w:hAnsi="宋体" w:cs="宋体"/>
          <w:kern w:val="0"/>
          <w:sz w:val="24"/>
        </w:rPr>
        <w:t>的响应文件的符合性审查情况均符合要求</w:t>
      </w:r>
      <w:r>
        <w:rPr>
          <w:rFonts w:hint="eastAsia" w:ascii="宋体" w:hAnsi="宋体" w:cs="宋体"/>
          <w:kern w:val="0"/>
          <w:sz w:val="24"/>
          <w:highlight w:val="none"/>
          <w:lang w:eastAsia="zh-CN"/>
        </w:rPr>
        <w:t>。</w:t>
      </w:r>
    </w:p>
    <w:p w14:paraId="1BFD623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2、定标日期：202</w:t>
      </w: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ascii="宋体" w:hAnsi="宋体" w:eastAsia="宋体" w:cs="宋体"/>
          <w:sz w:val="24"/>
          <w:szCs w:val="24"/>
          <w:lang w:val="en-US" w:eastAsia="zh-CN"/>
        </w:rPr>
        <w:t>06</w:t>
      </w:r>
      <w:r>
        <w:rPr>
          <w:rFonts w:hint="eastAsia" w:ascii="宋体" w:hAnsi="宋体" w:eastAsia="宋体" w:cs="宋体"/>
          <w:sz w:val="24"/>
          <w:szCs w:val="24"/>
        </w:rPr>
        <w:t>月</w:t>
      </w:r>
      <w:r>
        <w:rPr>
          <w:rFonts w:hint="eastAsia" w:ascii="宋体" w:hAnsi="宋体" w:eastAsia="宋体" w:cs="宋体"/>
          <w:sz w:val="24"/>
          <w:szCs w:val="24"/>
          <w:lang w:val="en-US" w:eastAsia="zh-CN"/>
        </w:rPr>
        <w:t>03</w:t>
      </w:r>
      <w:r>
        <w:rPr>
          <w:rFonts w:hint="eastAsia" w:ascii="宋体" w:hAnsi="宋体" w:eastAsia="宋体" w:cs="宋体"/>
          <w:sz w:val="24"/>
          <w:szCs w:val="24"/>
        </w:rPr>
        <w:t>日(项目编号：FJMH-2025-032</w:t>
      </w:r>
      <w:r>
        <w:rPr>
          <w:rFonts w:hint="eastAsia" w:ascii="宋体" w:hAnsi="宋体" w:eastAsia="宋体" w:cs="宋体"/>
          <w:sz w:val="24"/>
          <w:szCs w:val="24"/>
          <w:lang w:eastAsia="zh-CN"/>
        </w:rPr>
        <w:t>）</w:t>
      </w:r>
      <w:r>
        <w:rPr>
          <w:rFonts w:hint="eastAsia" w:ascii="宋体" w:hAnsi="宋体" w:eastAsia="宋体" w:cs="宋体"/>
          <w:sz w:val="24"/>
          <w:szCs w:val="24"/>
        </w:rPr>
        <w:t>。</w:t>
      </w:r>
    </w:p>
    <w:p w14:paraId="1B49CFC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3、合同履行期限：自合同生效之日起至合同约定的合同义务履行完毕。</w:t>
      </w:r>
    </w:p>
    <w:p w14:paraId="38C47C39">
      <w:pPr>
        <w:keepNext w:val="0"/>
        <w:keepLines w:val="0"/>
        <w:pageBreakBefore w:val="0"/>
        <w:kinsoku/>
        <w:wordWrap/>
        <w:overflowPunct/>
        <w:topLinePunct w:val="0"/>
        <w:autoSpaceDE/>
        <w:autoSpaceDN/>
        <w:bidi w:val="0"/>
        <w:adjustRightInd/>
        <w:snapToGrid/>
        <w:spacing w:line="5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4、政府采购政策性功能的情况：</w:t>
      </w:r>
      <w:r>
        <w:rPr>
          <w:rFonts w:hint="eastAsia" w:ascii="宋体" w:hAnsi="宋体"/>
          <w:sz w:val="24"/>
        </w:rPr>
        <w:t>福州吉汇兴家具有限公司在响应文件中提供“矮柜等”是提供属于财政部、环境保护部公示的《环境标志产品政府采购品目清单》内的环境标志产品的证明资料复印件，经询价小组评议，符合询价通知书政策性价格扣除条款规定，本项内容给予价格扣除。价格扣除如下：该公司的报价总金额为137650元，其中属于环境标志的报价为82285元，根据询价通知书“优先类节能产品、环境标志产品的价格扣除规则”给予15%的价格扣除幅度，价格扣除为12342.75元，价格扣除后的评审价格为125307.25元。</w:t>
      </w:r>
    </w:p>
    <w:p w14:paraId="7EF5E42D">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九、凡对本次公告内容提出询问，请按以下方式联系。</w:t>
      </w:r>
    </w:p>
    <w:p w14:paraId="4910855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1.采购人信息</w:t>
      </w:r>
    </w:p>
    <w:p w14:paraId="5AD291F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福州职业技术学院</w:t>
      </w:r>
      <w:r>
        <w:rPr>
          <w:rFonts w:hint="eastAsia" w:ascii="宋体" w:hAnsi="宋体" w:eastAsia="宋体" w:cs="宋体"/>
          <w:sz w:val="24"/>
          <w:szCs w:val="24"/>
        </w:rPr>
        <w:t>　　　　　</w:t>
      </w:r>
    </w:p>
    <w:p w14:paraId="72A10D6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地址：</w:t>
      </w:r>
      <w:r>
        <w:rPr>
          <w:rFonts w:hint="eastAsia" w:ascii="宋体" w:hAnsi="宋体" w:eastAsia="宋体" w:cs="宋体"/>
          <w:sz w:val="24"/>
          <w:szCs w:val="24"/>
          <w:lang w:eastAsia="zh-CN"/>
        </w:rPr>
        <w:t>福州市闽侯上街联榕路8号</w:t>
      </w:r>
      <w:r>
        <w:rPr>
          <w:rFonts w:hint="eastAsia" w:ascii="宋体" w:hAnsi="宋体" w:eastAsia="宋体" w:cs="宋体"/>
          <w:sz w:val="24"/>
          <w:szCs w:val="24"/>
        </w:rPr>
        <w:t>　　　　　　　　</w:t>
      </w:r>
    </w:p>
    <w:p w14:paraId="168C3AA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eastAsia="zh-CN"/>
        </w:rPr>
        <w:t>郑老师/0591-83760305</w:t>
      </w:r>
      <w:r>
        <w:rPr>
          <w:rFonts w:hint="eastAsia" w:ascii="宋体" w:hAnsi="宋体" w:eastAsia="宋体" w:cs="宋体"/>
          <w:sz w:val="24"/>
          <w:szCs w:val="24"/>
        </w:rPr>
        <w:t>　　　　　　</w:t>
      </w:r>
    </w:p>
    <w:p w14:paraId="2B43C34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2.采购代理机构信息</w:t>
      </w:r>
    </w:p>
    <w:p w14:paraId="3DDAE1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名 称：</w:t>
      </w:r>
      <w:r>
        <w:rPr>
          <w:rFonts w:hint="eastAsia" w:ascii="宋体" w:hAnsi="宋体" w:eastAsia="宋体" w:cs="宋体"/>
          <w:sz w:val="24"/>
          <w:szCs w:val="24"/>
          <w:lang w:eastAsia="zh-CN"/>
        </w:rPr>
        <w:t>福建美环招标代理有限公司</w:t>
      </w:r>
      <w:r>
        <w:rPr>
          <w:rFonts w:hint="eastAsia" w:ascii="宋体" w:hAnsi="宋体" w:eastAsia="宋体" w:cs="宋体"/>
          <w:sz w:val="24"/>
          <w:szCs w:val="24"/>
        </w:rPr>
        <w:t>　　　　　　　　　　　　</w:t>
      </w:r>
    </w:p>
    <w:p w14:paraId="3D36F59F">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地　址：</w:t>
      </w:r>
      <w:r>
        <w:rPr>
          <w:rFonts w:hint="eastAsia" w:ascii="宋体" w:hAnsi="宋体" w:eastAsia="宋体" w:cs="宋体"/>
          <w:sz w:val="24"/>
          <w:szCs w:val="24"/>
          <w:lang w:eastAsia="zh-CN"/>
        </w:rPr>
        <w:t>福州市鼓楼区东街街道五一北路106号新侨联广场A座24层2402-1</w:t>
      </w:r>
      <w:r>
        <w:rPr>
          <w:rFonts w:hint="eastAsia" w:ascii="宋体" w:hAnsi="宋体" w:eastAsia="宋体" w:cs="宋体"/>
          <w:sz w:val="24"/>
          <w:szCs w:val="24"/>
        </w:rPr>
        <w:t>　　　　　　　　　　　　</w:t>
      </w:r>
    </w:p>
    <w:p w14:paraId="3EAE11B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联系方式：</w:t>
      </w:r>
      <w:r>
        <w:rPr>
          <w:rFonts w:hint="eastAsia" w:ascii="宋体" w:hAnsi="宋体" w:eastAsia="宋体" w:cs="宋体"/>
          <w:sz w:val="24"/>
          <w:szCs w:val="24"/>
          <w:lang w:eastAsia="zh-CN"/>
        </w:rPr>
        <w:t>陈玉兴、黄菊丽</w:t>
      </w:r>
      <w:r>
        <w:rPr>
          <w:rFonts w:hint="eastAsia" w:ascii="宋体" w:hAnsi="宋体" w:eastAsia="宋体" w:cs="宋体"/>
          <w:sz w:val="24"/>
          <w:szCs w:val="24"/>
        </w:rPr>
        <w:t>/</w:t>
      </w:r>
      <w:r>
        <w:rPr>
          <w:rFonts w:hint="eastAsia" w:ascii="宋体" w:hAnsi="宋体" w:eastAsia="宋体" w:cs="宋体"/>
          <w:sz w:val="24"/>
          <w:szCs w:val="24"/>
          <w:lang w:eastAsia="zh-CN"/>
        </w:rPr>
        <w:t>0591-83637606</w:t>
      </w:r>
      <w:r>
        <w:rPr>
          <w:rFonts w:hint="eastAsia" w:ascii="宋体" w:hAnsi="宋体" w:eastAsia="宋体" w:cs="宋体"/>
          <w:sz w:val="24"/>
          <w:szCs w:val="24"/>
        </w:rPr>
        <w:t>　　　　　　　　　　　　</w:t>
      </w:r>
    </w:p>
    <w:p w14:paraId="3A45152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r>
        <w:rPr>
          <w:rFonts w:hint="eastAsia" w:ascii="宋体" w:hAnsi="宋体" w:eastAsia="宋体" w:cs="宋体"/>
          <w:sz w:val="24"/>
          <w:szCs w:val="24"/>
        </w:rPr>
        <w:t>3.项目联系方式</w:t>
      </w:r>
    </w:p>
    <w:p w14:paraId="6200454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项目联系人：</w:t>
      </w:r>
      <w:r>
        <w:rPr>
          <w:rFonts w:hint="eastAsia" w:ascii="宋体" w:hAnsi="宋体" w:eastAsia="宋体" w:cs="宋体"/>
          <w:sz w:val="24"/>
          <w:szCs w:val="24"/>
          <w:lang w:eastAsia="zh-CN"/>
        </w:rPr>
        <w:t>陈玉兴、黄菊丽</w:t>
      </w:r>
    </w:p>
    <w:p w14:paraId="7EDD29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lang w:eastAsia="zh-CN"/>
        </w:rPr>
      </w:pPr>
      <w:r>
        <w:rPr>
          <w:rFonts w:hint="eastAsia" w:ascii="宋体" w:hAnsi="宋体" w:eastAsia="宋体" w:cs="宋体"/>
          <w:sz w:val="24"/>
          <w:szCs w:val="24"/>
        </w:rPr>
        <w:t>电　话：　　</w:t>
      </w:r>
      <w:r>
        <w:rPr>
          <w:rFonts w:hint="eastAsia" w:ascii="宋体" w:hAnsi="宋体" w:eastAsia="宋体" w:cs="宋体"/>
          <w:sz w:val="24"/>
          <w:szCs w:val="24"/>
          <w:lang w:eastAsia="zh-CN"/>
        </w:rPr>
        <w:t>0591-83637606</w:t>
      </w:r>
    </w:p>
    <w:p w14:paraId="1FD99A5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3F21E1"/>
    <w:rsid w:val="0B3F21E1"/>
    <w:rsid w:val="36C22E36"/>
    <w:rsid w:val="48557D5B"/>
    <w:rsid w:val="504F7091"/>
    <w:rsid w:val="5FA8056B"/>
    <w:rsid w:val="66C138D9"/>
    <w:rsid w:val="69A040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1384</Words>
  <Characters>1596</Characters>
  <Lines>0</Lines>
  <Paragraphs>0</Paragraphs>
  <TotalTime>9</TotalTime>
  <ScaleCrop>false</ScaleCrop>
  <LinksUpToDate>false</LinksUpToDate>
  <CharactersWithSpaces>1664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2025-06-03T02:35:00Z</dcterms:created>
  <dc:creator>经办</dc:creator>
  <cp:lastModifiedBy>经办</cp:lastModifiedBy>
  <dcterms:modified xsi:type="dcterms:W3CDTF">2025-06-03T03:57:04Z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E6073C6CD7C44E759525E0D786AF708D_11</vt:lpwstr>
  </property>
  <property fmtid="{D5CDD505-2E9C-101B-9397-08002B2CF9AE}" pid="4" name="KSOTemplateDocerSaveRecord">
    <vt:lpwstr>eyJoZGlkIjoiZDhkYTUzYjY2YzE0NjFkZDdlODg2NWEyNDNlYWJiYjEiLCJ1c2VySWQiOiIzMDgyOTExNzUifQ==</vt:lpwstr>
  </property>
</Properties>
</file>