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6523">
      <w:pPr>
        <w:keepNext w:val="0"/>
        <w:keepLines w:val="0"/>
        <w:widowControl w:val="0"/>
        <w:suppressLineNumbers w:val="0"/>
        <w:spacing w:before="0" w:beforeAutospacing="0" w:after="0" w:afterAutospacing="0" w:line="460" w:lineRule="exact"/>
        <w:ind w:left="0" w:right="0"/>
        <w:jc w:val="both"/>
        <w:rPr>
          <w:rFonts w:hint="default" w:ascii="黑体" w:hAnsi="宋体" w:eastAsia="黑体" w:cs="黑体"/>
          <w:kern w:val="2"/>
          <w:sz w:val="28"/>
          <w:szCs w:val="28"/>
        </w:rPr>
      </w:pPr>
    </w:p>
    <w:p w14:paraId="14AD80B8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p w14:paraId="6CA44D88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方正小标宋简体" w:hAnsi="方正小标宋简体" w:eastAsia="方正小标宋简体" w:cs="方正小标宋简体"/>
          <w:b/>
          <w:bCs w:val="0"/>
          <w:kern w:val="2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 w:bidi="ar"/>
        </w:rPr>
        <w:t>福州职业技术学院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single"/>
          <w:lang w:val="en-US" w:eastAsia="zh-CN"/>
        </w:rPr>
        <w:t>通识教育学院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系（部、院）</w:t>
      </w:r>
      <w:r>
        <w:rPr>
          <w:rFonts w:hint="default" w:ascii="方正小标宋简体" w:hAnsi="方正小标宋简体" w:eastAsia="方正小标宋简体" w:cs="方正小标宋简体"/>
          <w:b/>
          <w:bCs w:val="0"/>
          <w:kern w:val="2"/>
          <w:sz w:val="36"/>
          <w:szCs w:val="36"/>
          <w:lang w:val="en-US" w:eastAsia="zh-CN" w:bidi="ar"/>
        </w:rPr>
        <w:t>学习成果及转换课程设定清单</w:t>
      </w:r>
    </w:p>
    <w:p w14:paraId="4FA6D44F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2025至2026学年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33"/>
        <w:gridCol w:w="1260"/>
        <w:gridCol w:w="1536"/>
        <w:gridCol w:w="1134"/>
        <w:gridCol w:w="1643"/>
        <w:gridCol w:w="1572"/>
        <w:gridCol w:w="1625"/>
        <w:gridCol w:w="867"/>
        <w:gridCol w:w="867"/>
        <w:gridCol w:w="1122"/>
        <w:gridCol w:w="1208"/>
      </w:tblGrid>
      <w:tr w14:paraId="5B6E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4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B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成果类型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8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成果形式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B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成果（证书）名称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0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发证机构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8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成果内容描述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1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对应课程名称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A0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课程编号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8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2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1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成绩认定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0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转换课程</w:t>
            </w:r>
          </w:p>
          <w:p w14:paraId="5C8D8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属性</w:t>
            </w:r>
          </w:p>
        </w:tc>
      </w:tr>
      <w:tr w14:paraId="33EF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9FD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607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C14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C3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福建省健身气功锦标赛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1C2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福建省教育厅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21D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BAC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0EA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723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847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390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523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08FF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BCD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9C7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3D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268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福建省大学生定向越野锦标赛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CB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0BB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6A2C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BD1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F8F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225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3E5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56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0955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973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B5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6D0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740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福建省羽毛球锦标赛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6B4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FAC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405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CA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EC6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50A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7BD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C6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03FB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FE7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62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0DF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E16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福建省气排球锦标赛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7B7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94B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400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B36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C76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393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E82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6ED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7ACE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88C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153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9A9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129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福建省高校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羽毛球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联赛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E68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293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AD6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509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C00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31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FE1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822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0A33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33DE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9DB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FB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AE6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福建省高校气排球联赛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66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5E2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D4D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9B3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34F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83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A91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F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5344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7A00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1E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729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75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福建省大学生足球联赛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3B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23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38A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C0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EF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EDB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00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4CB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09BB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55B8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D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46A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5D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福建省大学生3X3校园篮球城市联赛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FAF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福建省大学生体育协会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EC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C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D38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37B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E3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A19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AB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403D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B108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163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111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177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福建省定向越野公开赛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EF4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福建省无线电定向运动协会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6BB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AF8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273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9F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705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C5A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95D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0178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49E1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5CF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BD2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70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全国啦啦操联赛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445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Hans"/>
              </w:rPr>
              <w:t>国家体育总局体操管理中心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AE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820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AE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AB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4EF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36B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80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1CE2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31F0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119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532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5EE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全国啦啦操锦标赛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503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Hans"/>
              </w:rPr>
              <w:t>国家体育总局体操管理中心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4C7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BF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FE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31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32E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F8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33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5242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618B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3AB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3BE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A5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全国大学生定向锦标赛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AF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Hans"/>
              </w:rPr>
              <w:t>中国学生体育联合会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CD1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7D2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F2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A3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46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090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33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2EF1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6C98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6C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A9F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90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全国定向锦标赛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FF2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Hans"/>
              </w:rPr>
              <w:t>国家体育总局航空无线电管理中心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70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F4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体育3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体育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A2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10020012470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、10020012480、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10020000490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、10020012500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8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CE5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C33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0A8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通识教育选修课</w:t>
            </w:r>
          </w:p>
        </w:tc>
      </w:tr>
      <w:tr w14:paraId="1677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E72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C1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42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B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中国大学生气排球锦标赛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1A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中国学生体育联合会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72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E7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体育1、体育2、体育3、体育4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6B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10020012470、10020012480、10020000490、10020012500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54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46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08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02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通识教育选修课</w:t>
            </w:r>
          </w:p>
        </w:tc>
      </w:tr>
      <w:tr w14:paraId="7E0A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3F2C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15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5B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D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福建省高校五人制足球联赛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09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福建省大学生体育协会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E7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体育竞赛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39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体育1、体育2、体育3、体育4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D5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10020012470、10020012480、10020000490、10020012500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CD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54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E5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4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通识教育选修课</w:t>
            </w:r>
          </w:p>
        </w:tc>
      </w:tr>
      <w:tr w14:paraId="2597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19DC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49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463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文化素质类竞赛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971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全国大学生数学建模竞赛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3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福建省大学生数学建模竞赛组委会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13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竞赛分赛区组织进行。原则上一个省（自治区、直辖市、特别行政区）为一个赛区。每个赛区建立组织委员会（以下简称赛区组委会），各赛区组委会聘请专家组成赛区评阅专家组，评选本赛区的一等奖、二等奖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、三等奖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9BF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高等数学A、</w:t>
            </w:r>
          </w:p>
          <w:p w14:paraId="1E7CB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高等数学B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</w:p>
          <w:p w14:paraId="44A9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高等数学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C、</w:t>
            </w:r>
          </w:p>
          <w:p w14:paraId="1F2BA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经济数学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EE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10020004050、10020004060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10030000520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10020010130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99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4、3、2（详见响应学期课程学分情况而定）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CB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89F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按班级成绩排名30%记录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92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公共基础课</w:t>
            </w:r>
          </w:p>
        </w:tc>
      </w:tr>
      <w:tr w14:paraId="38E5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DE56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91D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FC7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 业、 技能 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3E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福建省职业院校技能比赛高职组英语口语非专业组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特等奖、一等奖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05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福建省职业院校技能大赛组委会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594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大学生英语竞赛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8E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职业外语1</w:t>
            </w:r>
          </w:p>
          <w:p w14:paraId="1D288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401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10010004970</w:t>
            </w:r>
          </w:p>
          <w:p w14:paraId="68417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10010005780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719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  <w:p w14:paraId="793A1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E66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 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365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10%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66E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必修课</w:t>
            </w:r>
          </w:p>
        </w:tc>
      </w:tr>
      <w:tr w14:paraId="6252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2789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D19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E3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 业、 技能 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C93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福建省职业院校技能比赛高职组英语口语非专业组</w:t>
            </w:r>
          </w:p>
          <w:p w14:paraId="524FD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二、三等奖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A1A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福建省职业院校技能大赛组委会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482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大学生英语竞赛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EAE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职业外语1</w:t>
            </w:r>
          </w:p>
          <w:p w14:paraId="592EC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51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10010004970</w:t>
            </w:r>
          </w:p>
          <w:p w14:paraId="030D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10010005780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92F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  <w:p w14:paraId="0C1E0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95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 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F31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20%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ED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必修课</w:t>
            </w:r>
          </w:p>
        </w:tc>
      </w:tr>
      <w:tr w14:paraId="0C31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9A33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D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7F6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 业、 技能 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3F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福建省职业院校技能比赛高职组英语口语非专业组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优胜奖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8D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福建省职业院校技能大赛组委会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B5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大学生英语竞赛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3A4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职业外语1</w:t>
            </w:r>
          </w:p>
          <w:p w14:paraId="2AE2B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6D3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10010004970</w:t>
            </w:r>
          </w:p>
          <w:p w14:paraId="176CB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10010005780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95F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  <w:p w14:paraId="58E59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29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III 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237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30%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65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必修课</w:t>
            </w:r>
          </w:p>
        </w:tc>
      </w:tr>
      <w:tr w14:paraId="1CE4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F635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33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83D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专业、 技能 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BC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外研社杯职场英语挑战赛写作、演讲大赛</w:t>
            </w:r>
          </w:p>
          <w:p w14:paraId="7C41C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省赛特等奖、一等奖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C50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高等职业院校外语指导委员会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64F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大学生英语竞赛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770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职业外语1</w:t>
            </w:r>
          </w:p>
          <w:p w14:paraId="2EACC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689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10010004970</w:t>
            </w:r>
          </w:p>
          <w:p w14:paraId="72912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10010005780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35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  <w:p w14:paraId="6E7B3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87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 级</w:t>
            </w:r>
          </w:p>
          <w:p w14:paraId="64FB4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 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66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10%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FB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必修课</w:t>
            </w:r>
          </w:p>
        </w:tc>
      </w:tr>
      <w:tr w14:paraId="44C4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1069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00D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43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专业、 技能 类竞赛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4E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外研社杯职场英语挑战赛写作、演讲大赛省赛二、三等奖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379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福建省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高等职业院校外语指导委员会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28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大学生英语竞赛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7CC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职业外语1</w:t>
            </w:r>
          </w:p>
          <w:p w14:paraId="53D15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1E7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10010004970</w:t>
            </w:r>
          </w:p>
          <w:p w14:paraId="38BAF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10010005780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220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  <w:p w14:paraId="3586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17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级</w:t>
            </w:r>
          </w:p>
          <w:p w14:paraId="35A5F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级</w:t>
            </w:r>
          </w:p>
          <w:p w14:paraId="3EE71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7A24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20%记录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AAA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必修课</w:t>
            </w:r>
          </w:p>
        </w:tc>
      </w:tr>
      <w:tr w14:paraId="750B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146E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D27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专业成果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5B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专项能力</w:t>
            </w:r>
          </w:p>
          <w:p w14:paraId="34710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证书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E6E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大学生英语四、六级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合格证书（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成绩报告单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0E5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0"/>
                <w:sz w:val="18"/>
                <w:szCs w:val="18"/>
              </w:rPr>
              <w:t>全国大学英语四六级考试委员会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C6D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大学英语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四六级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考试是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由国家教育部高等教育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司组织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的全国性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英语能力水平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考试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69FF6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职业外语1</w:t>
            </w:r>
          </w:p>
          <w:p w14:paraId="73095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职业外语2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B97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10010004970</w:t>
            </w:r>
          </w:p>
          <w:p w14:paraId="1A925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10010005780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14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  <w:p w14:paraId="39639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  <w:p w14:paraId="6240B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 w:firstLine="180" w:firstLineChars="10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D2BE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 级</w:t>
            </w:r>
          </w:p>
          <w:p w14:paraId="0EA28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I 级</w:t>
            </w:r>
          </w:p>
          <w:p w14:paraId="4E3BF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C65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按班级成绩排名1</w:t>
            </w:r>
            <w:r>
              <w:rPr>
                <w:rFonts w:hint="default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0%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记录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E0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shd w:val="clear" w:color="auto" w:fill="FFFFFF"/>
              </w:rPr>
              <w:t>必修课</w:t>
            </w:r>
          </w:p>
        </w:tc>
      </w:tr>
    </w:tbl>
    <w:p w14:paraId="3A9132BA"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A2935"/>
    <w:rsid w:val="055C30DB"/>
    <w:rsid w:val="0EA117EF"/>
    <w:rsid w:val="25870DA3"/>
    <w:rsid w:val="40464DC0"/>
    <w:rsid w:val="48C216B2"/>
    <w:rsid w:val="4C2C6D3B"/>
    <w:rsid w:val="527D7049"/>
    <w:rsid w:val="5B7A2935"/>
    <w:rsid w:val="5F480DE2"/>
    <w:rsid w:val="5FA1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7</Pages>
  <Words>2037</Words>
  <Characters>2929</Characters>
  <Lines>0</Lines>
  <Paragraphs>0</Paragraphs>
  <TotalTime>14</TotalTime>
  <ScaleCrop>false</ScaleCrop>
  <LinksUpToDate>false</LinksUpToDate>
  <CharactersWithSpaces>2952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2025-06-03T01:53:00Z</dcterms:created>
  <dc:creator>Termy</dc:creator>
  <cp:lastModifiedBy>Termy</cp:lastModifiedBy>
  <cp:lastPrinted>2025-06-04T04:35:00Z</cp:lastPrinted>
  <dcterms:modified xsi:type="dcterms:W3CDTF">2025-06-05T04:36:39Z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442902F52E0D49F5A03B3F4CC77EAB7D_11</vt:lpwstr>
  </property>
  <property fmtid="{D5CDD505-2E9C-101B-9397-08002B2CF9AE}" pid="4" name="KSOTemplateDocerSaveRecord">
    <vt:lpwstr>eyJoZGlkIjoiMDJkZTE2YTQ4MTgxMmEwMTkwMTYyYTI2NmQ2OWM1N2MiLCJ1c2VySWQiOiI0NDYzNzEyMDAifQ==</vt:lpwstr>
  </property>
</Properties>
</file>